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9C326" w14:textId="77777777" w:rsidR="00D71273" w:rsidRPr="00786B92" w:rsidRDefault="00D71273" w:rsidP="00D71273">
      <w:pPr>
        <w:spacing w:before="0" w:after="0"/>
        <w:jc w:val="both"/>
        <w:rPr>
          <w:rFonts w:ascii="Sylfaen" w:hAnsi="Sylfaen" w:cs="Tahoma"/>
          <w:color w:val="003399"/>
        </w:rPr>
      </w:pPr>
      <w:bookmarkStart w:id="0" w:name="_Toc490256598"/>
    </w:p>
    <w:p w14:paraId="2F203F0E" w14:textId="77777777" w:rsidR="00D71273" w:rsidRPr="00786B92" w:rsidRDefault="00D71273" w:rsidP="00D71273">
      <w:pPr>
        <w:spacing w:before="0" w:after="0"/>
        <w:jc w:val="both"/>
        <w:rPr>
          <w:rFonts w:ascii="Sylfaen" w:hAnsi="Sylfaen" w:cs="Tahoma"/>
        </w:rPr>
      </w:pPr>
      <w:r w:rsidRPr="00786B92">
        <w:rPr>
          <w:rFonts w:ascii="Sylfaen" w:hAnsi="Sylfaen" w:cs="Tahoma"/>
        </w:rPr>
        <w:t xml:space="preserve">  </w:t>
      </w:r>
    </w:p>
    <w:p w14:paraId="031FC30C" w14:textId="77777777" w:rsidR="00D71273" w:rsidRPr="00786B92" w:rsidRDefault="00D71273" w:rsidP="00D71273">
      <w:pPr>
        <w:spacing w:before="0" w:after="0"/>
        <w:jc w:val="both"/>
        <w:rPr>
          <w:rFonts w:ascii="Sylfaen" w:hAnsi="Sylfaen" w:cs="Tahoma"/>
        </w:rPr>
      </w:pPr>
    </w:p>
    <w:p w14:paraId="748A575B" w14:textId="77777777" w:rsidR="00D71273" w:rsidRPr="00786B92" w:rsidRDefault="00D71273" w:rsidP="00D71273">
      <w:pPr>
        <w:spacing w:before="0" w:after="0"/>
        <w:jc w:val="both"/>
        <w:rPr>
          <w:rFonts w:ascii="Sylfaen" w:hAnsi="Sylfaen" w:cs="Tahoma"/>
        </w:rPr>
      </w:pPr>
    </w:p>
    <w:p w14:paraId="7A464082" w14:textId="77777777" w:rsidR="00D71273" w:rsidRPr="00786B92" w:rsidRDefault="00D71273" w:rsidP="00D71273">
      <w:pPr>
        <w:spacing w:before="0" w:after="0"/>
        <w:jc w:val="both"/>
        <w:rPr>
          <w:rFonts w:ascii="Sylfaen" w:hAnsi="Sylfaen" w:cs="Tahoma"/>
        </w:rPr>
      </w:pPr>
    </w:p>
    <w:p w14:paraId="7425B522" w14:textId="2B44BD9B" w:rsidR="00D71273" w:rsidRPr="00786B92" w:rsidRDefault="00D71273" w:rsidP="00D71273">
      <w:pPr>
        <w:spacing w:before="0" w:after="0"/>
        <w:jc w:val="both"/>
        <w:rPr>
          <w:rFonts w:ascii="Sylfaen" w:hAnsi="Sylfaen" w:cs="Tahoma"/>
        </w:rPr>
      </w:pPr>
    </w:p>
    <w:p w14:paraId="65A2C792" w14:textId="43454C79" w:rsidR="00D71273" w:rsidRPr="00786B92" w:rsidRDefault="00D71273" w:rsidP="00D71273">
      <w:pPr>
        <w:spacing w:before="0" w:after="0"/>
        <w:jc w:val="both"/>
        <w:rPr>
          <w:rFonts w:ascii="Sylfaen" w:hAnsi="Sylfaen" w:cs="Tahoma"/>
        </w:rPr>
      </w:pPr>
    </w:p>
    <w:p w14:paraId="30CF0D5F" w14:textId="21F2436F" w:rsidR="00D71273" w:rsidRPr="00786B92" w:rsidRDefault="00D71273" w:rsidP="00D71273">
      <w:pPr>
        <w:spacing w:before="0" w:after="0"/>
        <w:jc w:val="both"/>
        <w:rPr>
          <w:rFonts w:ascii="Sylfaen" w:hAnsi="Sylfaen" w:cs="Tahoma"/>
        </w:rPr>
      </w:pPr>
    </w:p>
    <w:p w14:paraId="1240CD7B" w14:textId="6786AB46" w:rsidR="00D71273" w:rsidRPr="00786B92" w:rsidRDefault="00D71273" w:rsidP="00D71273">
      <w:pPr>
        <w:spacing w:before="0" w:after="0"/>
        <w:jc w:val="both"/>
        <w:rPr>
          <w:rFonts w:ascii="Sylfaen" w:hAnsi="Sylfaen" w:cs="Tahoma"/>
        </w:rPr>
      </w:pPr>
    </w:p>
    <w:p w14:paraId="5B17A499" w14:textId="297621F6" w:rsidR="00D71273" w:rsidRPr="00786B92" w:rsidRDefault="00D71273" w:rsidP="00D71273">
      <w:pPr>
        <w:spacing w:before="0" w:after="0"/>
        <w:jc w:val="both"/>
        <w:rPr>
          <w:rFonts w:ascii="Sylfaen" w:hAnsi="Sylfaen" w:cs="Tahoma"/>
        </w:rPr>
      </w:pPr>
    </w:p>
    <w:p w14:paraId="35127546" w14:textId="3B44C036" w:rsidR="00D71273" w:rsidRPr="00786B92" w:rsidRDefault="00D71273" w:rsidP="00D71273">
      <w:pPr>
        <w:spacing w:before="0" w:after="0"/>
        <w:jc w:val="both"/>
        <w:rPr>
          <w:rFonts w:ascii="Sylfaen" w:hAnsi="Sylfaen" w:cs="Tahoma"/>
          <w:color w:val="548DD4" w:themeColor="text2" w:themeTint="99"/>
        </w:rPr>
      </w:pPr>
    </w:p>
    <w:p w14:paraId="07125475" w14:textId="072AAF24" w:rsidR="00D71273" w:rsidRPr="00786B92" w:rsidRDefault="0048722D" w:rsidP="00D71273">
      <w:pPr>
        <w:spacing w:before="0" w:after="0"/>
        <w:jc w:val="both"/>
        <w:rPr>
          <w:rFonts w:ascii="Sylfaen" w:hAnsi="Sylfaen" w:cs="Tahoma"/>
          <w:color w:val="548DD4" w:themeColor="text2" w:themeTint="99"/>
        </w:rPr>
      </w:pPr>
      <w:r w:rsidRPr="00786B92">
        <w:rPr>
          <w:rFonts w:ascii="Sylfaen" w:hAnsi="Sylfaen" w:cs="Tahoma"/>
          <w:noProof/>
          <w:color w:val="003399"/>
        </w:rPr>
        <w:drawing>
          <wp:anchor distT="0" distB="0" distL="114300" distR="114300" simplePos="0" relativeHeight="251684864" behindDoc="1" locked="0" layoutInCell="1" allowOverlap="1" wp14:anchorId="48CD0E3B" wp14:editId="0BB0E6D8">
            <wp:simplePos x="0" y="0"/>
            <wp:positionH relativeFrom="margin">
              <wp:posOffset>2467610</wp:posOffset>
            </wp:positionH>
            <wp:positionV relativeFrom="paragraph">
              <wp:posOffset>5080</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36011335" w14:textId="77777777" w:rsidR="00D71273" w:rsidRPr="00786B92" w:rsidRDefault="00D71273" w:rsidP="00D71273">
      <w:pPr>
        <w:spacing w:before="0" w:after="0"/>
        <w:jc w:val="both"/>
        <w:rPr>
          <w:rFonts w:ascii="Sylfaen" w:hAnsi="Sylfaen" w:cs="Tahoma"/>
          <w:color w:val="548DD4" w:themeColor="text2" w:themeTint="99"/>
        </w:rPr>
      </w:pPr>
    </w:p>
    <w:p w14:paraId="63D5592C" w14:textId="77777777" w:rsidR="0048722D" w:rsidRPr="00786B92" w:rsidRDefault="0048722D" w:rsidP="00D71273">
      <w:pPr>
        <w:spacing w:before="0" w:after="0"/>
        <w:jc w:val="center"/>
        <w:rPr>
          <w:rFonts w:ascii="Sylfaen" w:hAnsi="Sylfaen" w:cs="Tahoma"/>
          <w:color w:val="548DD4" w:themeColor="text2" w:themeTint="99"/>
        </w:rPr>
      </w:pPr>
    </w:p>
    <w:p w14:paraId="0D095A39" w14:textId="77777777" w:rsidR="0048722D" w:rsidRPr="00786B92" w:rsidRDefault="0048722D" w:rsidP="00D71273">
      <w:pPr>
        <w:spacing w:before="0" w:after="0"/>
        <w:jc w:val="center"/>
        <w:rPr>
          <w:rFonts w:ascii="Sylfaen" w:hAnsi="Sylfaen" w:cs="Tahoma"/>
          <w:color w:val="548DD4" w:themeColor="text2" w:themeTint="99"/>
        </w:rPr>
      </w:pPr>
    </w:p>
    <w:p w14:paraId="38F80325" w14:textId="77777777" w:rsidR="0048722D" w:rsidRPr="00786B92" w:rsidRDefault="0048722D" w:rsidP="00D71273">
      <w:pPr>
        <w:spacing w:before="0" w:after="0"/>
        <w:jc w:val="center"/>
        <w:rPr>
          <w:rFonts w:ascii="Sylfaen" w:hAnsi="Sylfaen" w:cs="Tahoma"/>
          <w:color w:val="548DD4" w:themeColor="text2" w:themeTint="99"/>
        </w:rPr>
      </w:pPr>
    </w:p>
    <w:p w14:paraId="00029284" w14:textId="77777777" w:rsidR="0048722D" w:rsidRPr="00786B92" w:rsidRDefault="0048722D" w:rsidP="00D71273">
      <w:pPr>
        <w:spacing w:before="0" w:after="0"/>
        <w:jc w:val="center"/>
        <w:rPr>
          <w:rFonts w:ascii="Sylfaen" w:hAnsi="Sylfaen" w:cs="Tahoma"/>
          <w:color w:val="548DD4" w:themeColor="text2" w:themeTint="99"/>
        </w:rPr>
      </w:pPr>
    </w:p>
    <w:p w14:paraId="13B2E24A" w14:textId="77777777" w:rsidR="006D590C" w:rsidRPr="00786B92" w:rsidRDefault="006D590C" w:rsidP="00D71273">
      <w:pPr>
        <w:spacing w:before="0" w:after="0"/>
        <w:jc w:val="center"/>
        <w:rPr>
          <w:rFonts w:ascii="Sylfaen" w:hAnsi="Sylfaen" w:cs="Tahoma"/>
          <w:color w:val="548DD4" w:themeColor="text2" w:themeTint="99"/>
        </w:rPr>
      </w:pPr>
    </w:p>
    <w:p w14:paraId="248C269E" w14:textId="77777777" w:rsidR="006D590C" w:rsidRPr="00786B92" w:rsidRDefault="006D590C" w:rsidP="00D71273">
      <w:pPr>
        <w:spacing w:before="0" w:after="0"/>
        <w:jc w:val="center"/>
        <w:rPr>
          <w:rFonts w:ascii="Sylfaen" w:hAnsi="Sylfaen" w:cs="Tahoma"/>
          <w:color w:val="548DD4" w:themeColor="text2" w:themeTint="99"/>
        </w:rPr>
      </w:pPr>
    </w:p>
    <w:p w14:paraId="7D9EA0F8" w14:textId="77777777" w:rsidR="00786B92" w:rsidRDefault="00786B92" w:rsidP="00D71273">
      <w:pPr>
        <w:spacing w:before="0" w:after="0"/>
        <w:jc w:val="center"/>
        <w:rPr>
          <w:rFonts w:ascii="Sylfaen" w:hAnsi="Sylfaen" w:cs="Tahoma"/>
          <w:color w:val="548DD4" w:themeColor="text2" w:themeTint="99"/>
          <w:sz w:val="40"/>
          <w:szCs w:val="40"/>
        </w:rPr>
      </w:pPr>
    </w:p>
    <w:p w14:paraId="75217BCB" w14:textId="77777777" w:rsidR="00786B92" w:rsidRDefault="00786B92" w:rsidP="00D71273">
      <w:pPr>
        <w:spacing w:before="0" w:after="0"/>
        <w:jc w:val="center"/>
        <w:rPr>
          <w:rFonts w:ascii="Sylfaen" w:hAnsi="Sylfaen" w:cs="Tahoma"/>
          <w:color w:val="548DD4" w:themeColor="text2" w:themeTint="99"/>
          <w:sz w:val="40"/>
          <w:szCs w:val="40"/>
        </w:rPr>
      </w:pPr>
    </w:p>
    <w:p w14:paraId="2029C34B" w14:textId="6591088D" w:rsidR="00D71273" w:rsidRPr="00786B92" w:rsidRDefault="00D71273" w:rsidP="00D71273">
      <w:pPr>
        <w:spacing w:before="0" w:after="0"/>
        <w:jc w:val="center"/>
        <w:rPr>
          <w:rFonts w:ascii="Sylfaen" w:hAnsi="Sylfaen" w:cs="Tahoma"/>
          <w:color w:val="548DD4" w:themeColor="text2" w:themeTint="99"/>
          <w:sz w:val="40"/>
          <w:szCs w:val="40"/>
        </w:rPr>
      </w:pPr>
      <w:r w:rsidRPr="00786B92">
        <w:rPr>
          <w:rFonts w:ascii="Sylfaen" w:hAnsi="Sylfaen" w:cs="Tahoma"/>
          <w:color w:val="548DD4" w:themeColor="text2" w:themeTint="99"/>
          <w:sz w:val="40"/>
          <w:szCs w:val="40"/>
        </w:rPr>
        <w:t>Roman Fields Academy</w:t>
      </w:r>
      <w:r w:rsidR="00620A6E">
        <w:rPr>
          <w:rFonts w:ascii="Sylfaen" w:hAnsi="Sylfaen" w:cs="Tahoma"/>
          <w:color w:val="548DD4" w:themeColor="text2" w:themeTint="99"/>
          <w:sz w:val="40"/>
          <w:szCs w:val="40"/>
        </w:rPr>
        <w:t xml:space="preserve"> &amp; Forest House Education Centre</w:t>
      </w:r>
    </w:p>
    <w:p w14:paraId="7D35C4F2" w14:textId="77777777" w:rsidR="00D71273" w:rsidRPr="00786B92" w:rsidRDefault="00D71273" w:rsidP="00D71273">
      <w:pPr>
        <w:spacing w:before="0" w:after="0"/>
        <w:jc w:val="center"/>
        <w:rPr>
          <w:rFonts w:ascii="Sylfaen" w:hAnsi="Sylfaen" w:cs="Tahoma"/>
          <w:color w:val="548DD4" w:themeColor="text2" w:themeTint="99"/>
          <w:sz w:val="40"/>
          <w:szCs w:val="40"/>
        </w:rPr>
      </w:pPr>
      <w:r w:rsidRPr="00786B92">
        <w:rPr>
          <w:rFonts w:ascii="Sylfaen" w:hAnsi="Sylfaen" w:cs="Tahoma"/>
          <w:color w:val="548DD4" w:themeColor="text2" w:themeTint="99"/>
          <w:sz w:val="40"/>
          <w:szCs w:val="40"/>
        </w:rPr>
        <w:t>Access Arrangements Policy 2022/23</w:t>
      </w:r>
    </w:p>
    <w:p w14:paraId="12D17AAB" w14:textId="77777777" w:rsidR="00D71273" w:rsidRPr="00786B92" w:rsidRDefault="00D71273" w:rsidP="00D71273">
      <w:pPr>
        <w:autoSpaceDE w:val="0"/>
        <w:autoSpaceDN w:val="0"/>
        <w:adjustRightInd w:val="0"/>
        <w:spacing w:before="0" w:after="0"/>
        <w:jc w:val="both"/>
        <w:rPr>
          <w:rFonts w:ascii="Sylfaen" w:hAnsi="Sylfaen" w:cs="Tahoma"/>
        </w:rPr>
      </w:pPr>
    </w:p>
    <w:p w14:paraId="095BA440" w14:textId="77777777" w:rsidR="00D71273" w:rsidRPr="00786B92" w:rsidRDefault="00D71273" w:rsidP="00D71273">
      <w:pPr>
        <w:autoSpaceDE w:val="0"/>
        <w:autoSpaceDN w:val="0"/>
        <w:adjustRightInd w:val="0"/>
        <w:spacing w:before="0" w:after="0"/>
        <w:jc w:val="both"/>
        <w:rPr>
          <w:rFonts w:ascii="Sylfaen" w:hAnsi="Sylfaen" w:cs="Tahoma"/>
        </w:rPr>
      </w:pPr>
    </w:p>
    <w:p w14:paraId="1BB8F296" w14:textId="77777777" w:rsidR="00D71273" w:rsidRPr="00786B92" w:rsidRDefault="00D71273" w:rsidP="00D71273">
      <w:pPr>
        <w:autoSpaceDE w:val="0"/>
        <w:autoSpaceDN w:val="0"/>
        <w:adjustRightInd w:val="0"/>
        <w:spacing w:before="0" w:after="0"/>
        <w:jc w:val="both"/>
        <w:rPr>
          <w:rFonts w:ascii="Sylfaen" w:hAnsi="Sylfaen" w:cs="Tahoma"/>
        </w:rPr>
      </w:pPr>
    </w:p>
    <w:p w14:paraId="213F14F9" w14:textId="77777777" w:rsidR="00D71273" w:rsidRPr="00786B92" w:rsidRDefault="00D71273" w:rsidP="00D71273">
      <w:pPr>
        <w:autoSpaceDE w:val="0"/>
        <w:autoSpaceDN w:val="0"/>
        <w:adjustRightInd w:val="0"/>
        <w:spacing w:before="0" w:after="0"/>
        <w:jc w:val="both"/>
        <w:rPr>
          <w:rFonts w:ascii="Sylfaen" w:hAnsi="Sylfaen" w:cs="Tahoma"/>
        </w:rPr>
      </w:pPr>
    </w:p>
    <w:p w14:paraId="0C145BF1" w14:textId="77777777" w:rsidR="00D71273" w:rsidRPr="00786B92" w:rsidRDefault="00D71273" w:rsidP="00D71273">
      <w:pPr>
        <w:autoSpaceDE w:val="0"/>
        <w:autoSpaceDN w:val="0"/>
        <w:adjustRightInd w:val="0"/>
        <w:spacing w:before="0" w:after="0"/>
        <w:jc w:val="both"/>
        <w:rPr>
          <w:rFonts w:ascii="Sylfaen" w:hAnsi="Sylfaen" w:cs="Tahoma"/>
        </w:rPr>
      </w:pPr>
    </w:p>
    <w:p w14:paraId="595A0168" w14:textId="77777777" w:rsidR="00D71273" w:rsidRPr="00786B92" w:rsidRDefault="00D71273" w:rsidP="00D71273">
      <w:pPr>
        <w:autoSpaceDE w:val="0"/>
        <w:autoSpaceDN w:val="0"/>
        <w:adjustRightInd w:val="0"/>
        <w:spacing w:before="0" w:after="0"/>
        <w:jc w:val="both"/>
        <w:rPr>
          <w:rFonts w:ascii="Sylfaen" w:hAnsi="Sylfaen" w:cs="Tahoma"/>
        </w:rPr>
      </w:pPr>
    </w:p>
    <w:p w14:paraId="6CF4D157" w14:textId="6D7FE044" w:rsidR="00D71273" w:rsidRPr="00786B92" w:rsidRDefault="00D71273" w:rsidP="00D71273">
      <w:pPr>
        <w:autoSpaceDE w:val="0"/>
        <w:autoSpaceDN w:val="0"/>
        <w:adjustRightInd w:val="0"/>
        <w:spacing w:before="0" w:after="0"/>
        <w:jc w:val="both"/>
        <w:rPr>
          <w:rFonts w:ascii="Sylfaen" w:hAnsi="Sylfaen" w:cs="Tahoma"/>
        </w:rPr>
      </w:pPr>
    </w:p>
    <w:p w14:paraId="5DCB813E" w14:textId="27B7FBD2" w:rsidR="0048722D" w:rsidRPr="00786B92" w:rsidRDefault="0048722D" w:rsidP="00D71273">
      <w:pPr>
        <w:autoSpaceDE w:val="0"/>
        <w:autoSpaceDN w:val="0"/>
        <w:adjustRightInd w:val="0"/>
        <w:spacing w:before="0" w:after="0"/>
        <w:jc w:val="both"/>
        <w:rPr>
          <w:rFonts w:ascii="Sylfaen" w:hAnsi="Sylfaen" w:cs="Tahoma"/>
        </w:rPr>
      </w:pPr>
    </w:p>
    <w:p w14:paraId="58446481" w14:textId="1383EB7E" w:rsidR="0048722D" w:rsidRPr="00786B92" w:rsidRDefault="0048722D" w:rsidP="00D71273">
      <w:pPr>
        <w:autoSpaceDE w:val="0"/>
        <w:autoSpaceDN w:val="0"/>
        <w:adjustRightInd w:val="0"/>
        <w:spacing w:before="0" w:after="0"/>
        <w:jc w:val="both"/>
        <w:rPr>
          <w:rFonts w:ascii="Sylfaen" w:hAnsi="Sylfaen" w:cs="Tahoma"/>
        </w:rPr>
      </w:pPr>
    </w:p>
    <w:p w14:paraId="46EDF6E9" w14:textId="019AA02E" w:rsidR="0048722D" w:rsidRPr="00786B92" w:rsidRDefault="0048722D" w:rsidP="00D71273">
      <w:pPr>
        <w:autoSpaceDE w:val="0"/>
        <w:autoSpaceDN w:val="0"/>
        <w:adjustRightInd w:val="0"/>
        <w:spacing w:before="0" w:after="0"/>
        <w:jc w:val="both"/>
        <w:rPr>
          <w:rFonts w:ascii="Sylfaen" w:hAnsi="Sylfaen" w:cs="Tahoma"/>
        </w:rPr>
      </w:pPr>
    </w:p>
    <w:p w14:paraId="75E754AD" w14:textId="570B3CF4" w:rsidR="0048722D" w:rsidRPr="00786B92" w:rsidRDefault="0048722D" w:rsidP="00D71273">
      <w:pPr>
        <w:autoSpaceDE w:val="0"/>
        <w:autoSpaceDN w:val="0"/>
        <w:adjustRightInd w:val="0"/>
        <w:spacing w:before="0" w:after="0"/>
        <w:jc w:val="both"/>
        <w:rPr>
          <w:rFonts w:ascii="Sylfaen" w:hAnsi="Sylfaen" w:cs="Tahoma"/>
        </w:rPr>
      </w:pPr>
    </w:p>
    <w:p w14:paraId="652E3CC6" w14:textId="7B2F581C" w:rsidR="0048722D" w:rsidRPr="00786B92" w:rsidRDefault="0048722D" w:rsidP="00D71273">
      <w:pPr>
        <w:autoSpaceDE w:val="0"/>
        <w:autoSpaceDN w:val="0"/>
        <w:adjustRightInd w:val="0"/>
        <w:spacing w:before="0" w:after="0"/>
        <w:jc w:val="both"/>
        <w:rPr>
          <w:rFonts w:ascii="Sylfaen" w:hAnsi="Sylfaen" w:cs="Tahoma"/>
        </w:rPr>
      </w:pPr>
    </w:p>
    <w:p w14:paraId="0AF0CB54" w14:textId="57165B23" w:rsidR="0048722D" w:rsidRPr="00786B92" w:rsidRDefault="0048722D" w:rsidP="00D71273">
      <w:pPr>
        <w:autoSpaceDE w:val="0"/>
        <w:autoSpaceDN w:val="0"/>
        <w:adjustRightInd w:val="0"/>
        <w:spacing w:before="0" w:after="0"/>
        <w:jc w:val="both"/>
        <w:rPr>
          <w:rFonts w:ascii="Sylfaen" w:hAnsi="Sylfaen" w:cs="Tahoma"/>
        </w:rPr>
      </w:pPr>
    </w:p>
    <w:p w14:paraId="0FB32BC1" w14:textId="5D4528C0" w:rsidR="0048722D" w:rsidRPr="00786B92" w:rsidRDefault="0048722D" w:rsidP="00D71273">
      <w:pPr>
        <w:autoSpaceDE w:val="0"/>
        <w:autoSpaceDN w:val="0"/>
        <w:adjustRightInd w:val="0"/>
        <w:spacing w:before="0" w:after="0"/>
        <w:jc w:val="both"/>
        <w:rPr>
          <w:rFonts w:ascii="Sylfaen" w:hAnsi="Sylfaen" w:cs="Tahoma"/>
        </w:rPr>
      </w:pPr>
    </w:p>
    <w:p w14:paraId="413931B4" w14:textId="669C3669" w:rsidR="0048722D" w:rsidRPr="00786B92" w:rsidRDefault="0048722D" w:rsidP="00D71273">
      <w:pPr>
        <w:autoSpaceDE w:val="0"/>
        <w:autoSpaceDN w:val="0"/>
        <w:adjustRightInd w:val="0"/>
        <w:spacing w:before="0" w:after="0"/>
        <w:jc w:val="both"/>
        <w:rPr>
          <w:rFonts w:ascii="Sylfaen" w:hAnsi="Sylfaen" w:cs="Tahoma"/>
        </w:rPr>
      </w:pPr>
    </w:p>
    <w:p w14:paraId="11E04119" w14:textId="77777777" w:rsidR="0048722D" w:rsidRPr="00786B92" w:rsidRDefault="0048722D" w:rsidP="00D71273">
      <w:pPr>
        <w:autoSpaceDE w:val="0"/>
        <w:autoSpaceDN w:val="0"/>
        <w:adjustRightInd w:val="0"/>
        <w:spacing w:before="0" w:after="0"/>
        <w:jc w:val="both"/>
        <w:rPr>
          <w:rFonts w:ascii="Sylfaen" w:hAnsi="Sylfaen" w:cs="Tahoma"/>
        </w:rPr>
      </w:pPr>
    </w:p>
    <w:p w14:paraId="070FD94A" w14:textId="77777777" w:rsidR="00D71273" w:rsidRPr="00786B92" w:rsidRDefault="00D71273" w:rsidP="00D71273">
      <w:pPr>
        <w:autoSpaceDE w:val="0"/>
        <w:autoSpaceDN w:val="0"/>
        <w:adjustRightInd w:val="0"/>
        <w:spacing w:before="0" w:after="0"/>
        <w:jc w:val="both"/>
        <w:rPr>
          <w:rFonts w:ascii="Sylfaen" w:hAnsi="Sylfaen" w:cs="Tahoma"/>
        </w:rPr>
      </w:pPr>
    </w:p>
    <w:p w14:paraId="060FA7E7" w14:textId="77777777" w:rsidR="00D71273" w:rsidRPr="00786B92" w:rsidRDefault="00D71273" w:rsidP="00D71273">
      <w:pPr>
        <w:spacing w:before="0" w:after="0"/>
        <w:jc w:val="both"/>
        <w:rPr>
          <w:rFonts w:ascii="Sylfaen" w:hAnsi="Sylfaen" w:cs="Tahoma"/>
        </w:rPr>
      </w:pPr>
      <w:r w:rsidRPr="00786B92">
        <w:rPr>
          <w:rFonts w:ascii="Sylfaen" w:hAnsi="Sylfaen" w:cs="Tahoma"/>
        </w:rPr>
        <w:t>This plan is reviewed annually to ensure compliance with current regulations</w:t>
      </w:r>
    </w:p>
    <w:p w14:paraId="21A90F5A" w14:textId="77777777" w:rsidR="00D71273" w:rsidRPr="00786B92" w:rsidRDefault="00D71273" w:rsidP="00D71273">
      <w:pPr>
        <w:spacing w:before="0" w:after="0"/>
        <w:jc w:val="both"/>
        <w:rPr>
          <w:rFonts w:ascii="Sylfaen" w:hAnsi="Sylfaen" w:cs="Tahoma"/>
        </w:rPr>
      </w:pPr>
    </w:p>
    <w:tbl>
      <w:tblPr>
        <w:tblStyle w:val="TableGrid"/>
        <w:tblW w:w="7794" w:type="dxa"/>
        <w:tblInd w:w="226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D71273" w:rsidRPr="00786B92" w14:paraId="49CAEF83" w14:textId="77777777" w:rsidTr="0050010D">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6DBEBFA4" w14:textId="77777777" w:rsidR="00D71273" w:rsidRPr="00786B92" w:rsidRDefault="00D71273" w:rsidP="00D71273">
            <w:pPr>
              <w:spacing w:before="0" w:after="0"/>
              <w:jc w:val="both"/>
              <w:rPr>
                <w:rFonts w:ascii="Sylfaen" w:hAnsi="Sylfaen" w:cs="Tahoma"/>
                <w:b/>
              </w:rPr>
            </w:pPr>
            <w:r w:rsidRPr="00786B92">
              <w:rPr>
                <w:rFonts w:ascii="Sylfaen" w:hAnsi="Sylfaen" w:cs="Tahoma"/>
                <w:b/>
              </w:rPr>
              <w:t>Approved/Agreed by</w:t>
            </w:r>
          </w:p>
        </w:tc>
      </w:tr>
      <w:tr w:rsidR="00D71273" w:rsidRPr="00786B92" w14:paraId="0BC8E5D1" w14:textId="77777777" w:rsidTr="006D590C">
        <w:trPr>
          <w:trHeight w:val="685"/>
        </w:trPr>
        <w:tc>
          <w:tcPr>
            <w:tcW w:w="1947" w:type="dxa"/>
            <w:tcBorders>
              <w:top w:val="single" w:sz="8" w:space="0" w:color="auto"/>
              <w:left w:val="single" w:sz="8" w:space="0" w:color="auto"/>
              <w:bottom w:val="single" w:sz="8" w:space="0" w:color="auto"/>
              <w:right w:val="single" w:sz="8" w:space="0" w:color="auto"/>
            </w:tcBorders>
            <w:vAlign w:val="center"/>
          </w:tcPr>
          <w:p w14:paraId="09535507" w14:textId="77777777" w:rsidR="00D71273" w:rsidRPr="00786B92" w:rsidRDefault="00D71273" w:rsidP="00D71273">
            <w:pPr>
              <w:spacing w:before="0" w:after="0"/>
              <w:jc w:val="both"/>
              <w:rPr>
                <w:rFonts w:ascii="Sylfaen" w:hAnsi="Sylfaen" w:cs="Tahoma"/>
                <w:b/>
              </w:rPr>
            </w:pPr>
            <w:r w:rsidRPr="00786B92">
              <w:rPr>
                <w:rFonts w:ascii="Sylfaen" w:hAnsi="Sylfaen" w:cs="Tahoma"/>
                <w:b/>
              </w:rPr>
              <w:t>Head of Centre</w:t>
            </w:r>
          </w:p>
          <w:p w14:paraId="5CF19840" w14:textId="77777777" w:rsidR="00D71273" w:rsidRPr="00786B92" w:rsidRDefault="00D71273" w:rsidP="00D71273">
            <w:pPr>
              <w:spacing w:before="0" w:after="0"/>
              <w:jc w:val="both"/>
              <w:rPr>
                <w:rFonts w:ascii="Sylfaen" w:hAnsi="Sylfaen" w:cs="Tahoma"/>
              </w:rPr>
            </w:pPr>
            <w:r w:rsidRPr="00786B92">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3B6ABD9F" w14:textId="77777777" w:rsidR="00D71273" w:rsidRPr="00786B92" w:rsidRDefault="00D71273" w:rsidP="00D71273">
            <w:pPr>
              <w:spacing w:before="0" w:after="0"/>
              <w:jc w:val="both"/>
              <w:rPr>
                <w:rFonts w:ascii="Sylfaen" w:hAnsi="Sylfaen" w:cs="Tahoma"/>
                <w:b/>
              </w:rPr>
            </w:pPr>
            <w:r w:rsidRPr="00786B92">
              <w:rPr>
                <w:rFonts w:ascii="Sylfaen" w:hAnsi="Sylfaen" w:cs="Tahoma"/>
                <w:b/>
              </w:rPr>
              <w:t>SLT Responsible</w:t>
            </w:r>
          </w:p>
          <w:p w14:paraId="08F94599" w14:textId="77777777" w:rsidR="00D71273" w:rsidRPr="00786B92" w:rsidRDefault="00D71273" w:rsidP="00D71273">
            <w:pPr>
              <w:spacing w:before="0" w:after="0"/>
              <w:jc w:val="both"/>
              <w:rPr>
                <w:rFonts w:ascii="Sylfaen" w:hAnsi="Sylfaen" w:cs="Tahoma"/>
              </w:rPr>
            </w:pPr>
            <w:r w:rsidRPr="00786B92">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5DEFA0F9" w14:textId="77777777" w:rsidR="00D71273" w:rsidRPr="00786B92" w:rsidRDefault="00D71273" w:rsidP="00D71273">
            <w:pPr>
              <w:spacing w:before="0" w:after="0"/>
              <w:jc w:val="both"/>
              <w:rPr>
                <w:rFonts w:ascii="Sylfaen" w:hAnsi="Sylfaen" w:cs="Tahoma"/>
                <w:b/>
              </w:rPr>
            </w:pPr>
            <w:r w:rsidRPr="00786B92">
              <w:rPr>
                <w:rFonts w:ascii="Sylfaen" w:hAnsi="Sylfaen" w:cs="Tahoma"/>
                <w:b/>
              </w:rPr>
              <w:t>Exams Officer</w:t>
            </w:r>
          </w:p>
          <w:p w14:paraId="4CFF589B" w14:textId="77777777" w:rsidR="00D71273" w:rsidRPr="00786B92" w:rsidRDefault="00D71273" w:rsidP="00D71273">
            <w:pPr>
              <w:spacing w:before="0" w:after="0"/>
              <w:jc w:val="both"/>
              <w:rPr>
                <w:rFonts w:ascii="Sylfaen" w:hAnsi="Sylfaen" w:cs="Tahoma"/>
              </w:rPr>
            </w:pPr>
            <w:r w:rsidRPr="00786B92">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7AF71E94" w14:textId="77777777" w:rsidR="00D71273" w:rsidRPr="00786B92" w:rsidRDefault="00D71273" w:rsidP="00D71273">
            <w:pPr>
              <w:spacing w:before="0" w:after="0"/>
              <w:jc w:val="both"/>
              <w:rPr>
                <w:rFonts w:ascii="Sylfaen" w:hAnsi="Sylfaen" w:cs="Tahoma"/>
                <w:b/>
              </w:rPr>
            </w:pPr>
            <w:r w:rsidRPr="00786B92">
              <w:rPr>
                <w:rFonts w:ascii="Sylfaen" w:hAnsi="Sylfaen" w:cs="Tahoma"/>
                <w:b/>
              </w:rPr>
              <w:t>SENDCo</w:t>
            </w:r>
          </w:p>
          <w:p w14:paraId="755CFFA9" w14:textId="77777777" w:rsidR="00D71273" w:rsidRPr="00786B92" w:rsidRDefault="00D71273" w:rsidP="00D71273">
            <w:pPr>
              <w:spacing w:before="0" w:after="0"/>
              <w:jc w:val="both"/>
              <w:rPr>
                <w:rFonts w:ascii="Sylfaen" w:hAnsi="Sylfaen" w:cs="Tahoma"/>
              </w:rPr>
            </w:pPr>
            <w:r w:rsidRPr="00786B92">
              <w:rPr>
                <w:rFonts w:ascii="Sylfaen" w:hAnsi="Sylfaen" w:cs="Tahoma"/>
              </w:rPr>
              <w:t>Chris Howroyd</w:t>
            </w:r>
          </w:p>
        </w:tc>
      </w:tr>
      <w:tr w:rsidR="00D71273" w:rsidRPr="00786B92" w14:paraId="095CD110" w14:textId="77777777" w:rsidTr="006D590C">
        <w:trPr>
          <w:trHeight w:val="386"/>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35253A4C" w14:textId="77777777" w:rsidR="00D71273" w:rsidRPr="00786B92" w:rsidRDefault="00D71273" w:rsidP="00D71273">
            <w:pPr>
              <w:spacing w:before="0" w:after="0"/>
              <w:ind w:left="1080" w:hanging="1080"/>
              <w:jc w:val="both"/>
              <w:rPr>
                <w:rFonts w:ascii="Sylfaen" w:hAnsi="Sylfaen" w:cs="Tahoma"/>
                <w:b/>
              </w:rPr>
            </w:pPr>
            <w:r w:rsidRPr="00786B92">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703A585D" w14:textId="77777777" w:rsidR="00D71273" w:rsidRPr="00786B92" w:rsidRDefault="00D71273" w:rsidP="00D71273">
            <w:pPr>
              <w:spacing w:before="0" w:after="0"/>
              <w:jc w:val="both"/>
              <w:rPr>
                <w:rFonts w:ascii="Sylfaen" w:hAnsi="Sylfaen" w:cs="Tahoma"/>
              </w:rPr>
            </w:pPr>
            <w:r w:rsidRPr="00786B92">
              <w:rPr>
                <w:rFonts w:ascii="Sylfaen" w:hAnsi="Sylfaen" w:cs="Tahoma"/>
              </w:rPr>
              <w:t>May 2023</w:t>
            </w:r>
          </w:p>
        </w:tc>
      </w:tr>
    </w:tbl>
    <w:p w14:paraId="2536C3BB" w14:textId="77777777" w:rsidR="006F7BD4" w:rsidRPr="00786B92" w:rsidRDefault="006F7BD4" w:rsidP="00D71273">
      <w:pPr>
        <w:spacing w:before="0" w:after="0"/>
        <w:jc w:val="both"/>
        <w:rPr>
          <w:rFonts w:ascii="Sylfaen" w:eastAsia="Times New Roman" w:hAnsi="Sylfaen" w:cs="Times New Roman"/>
          <w:b/>
          <w:color w:val="003399"/>
        </w:rPr>
      </w:pPr>
      <w:r w:rsidRPr="00786B92">
        <w:rPr>
          <w:rFonts w:ascii="Sylfaen" w:hAnsi="Sylfaen"/>
        </w:rPr>
        <w:br w:type="page"/>
      </w:r>
    </w:p>
    <w:p w14:paraId="1016E569" w14:textId="110D2020" w:rsidR="00844861" w:rsidRPr="00786B92" w:rsidRDefault="00844861" w:rsidP="00D71273">
      <w:pPr>
        <w:pStyle w:val="Headinglevel1"/>
        <w:spacing w:before="0" w:after="0"/>
        <w:jc w:val="both"/>
        <w:rPr>
          <w:rFonts w:ascii="Sylfaen" w:hAnsi="Sylfaen"/>
          <w:sz w:val="22"/>
          <w:szCs w:val="22"/>
        </w:rPr>
      </w:pPr>
      <w:bookmarkStart w:id="1" w:name="_Toc523473880"/>
      <w:bookmarkStart w:id="2" w:name="_Toc22304696"/>
      <w:bookmarkStart w:id="3" w:name="_Toc22487024"/>
      <w:bookmarkStart w:id="4" w:name="_Toc22487143"/>
      <w:bookmarkStart w:id="5" w:name="_Toc113029739"/>
      <w:bookmarkEnd w:id="0"/>
      <w:r w:rsidRPr="00786B92">
        <w:rPr>
          <w:rFonts w:ascii="Sylfaen" w:hAnsi="Sylfaen"/>
          <w:sz w:val="22"/>
          <w:szCs w:val="22"/>
        </w:rPr>
        <w:t>What are access arrangements and reasonable adjustments?</w:t>
      </w:r>
      <w:bookmarkEnd w:id="1"/>
      <w:bookmarkEnd w:id="2"/>
      <w:bookmarkEnd w:id="3"/>
      <w:bookmarkEnd w:id="4"/>
      <w:bookmarkEnd w:id="5"/>
    </w:p>
    <w:p w14:paraId="7DC86583" w14:textId="76F3109C" w:rsidR="00750CD6" w:rsidRPr="00786B92" w:rsidRDefault="00844861" w:rsidP="00D71273">
      <w:pPr>
        <w:pStyle w:val="Headinglevel2"/>
        <w:spacing w:before="0" w:after="0"/>
        <w:jc w:val="both"/>
        <w:rPr>
          <w:rFonts w:ascii="Sylfaen" w:hAnsi="Sylfaen"/>
          <w:color w:val="auto"/>
          <w:szCs w:val="22"/>
        </w:rPr>
      </w:pPr>
      <w:bookmarkStart w:id="6" w:name="_Toc523473881"/>
      <w:bookmarkStart w:id="7" w:name="_Toc22304697"/>
      <w:bookmarkStart w:id="8" w:name="_Toc22487025"/>
      <w:bookmarkStart w:id="9" w:name="_Toc22487144"/>
      <w:bookmarkStart w:id="10" w:name="_Toc113029740"/>
      <w:r w:rsidRPr="00786B92">
        <w:rPr>
          <w:rFonts w:ascii="Sylfaen" w:hAnsi="Sylfaen"/>
          <w:color w:val="auto"/>
          <w:szCs w:val="22"/>
        </w:rPr>
        <w:t xml:space="preserve">Access </w:t>
      </w:r>
      <w:r w:rsidR="00D71273" w:rsidRPr="00786B92">
        <w:rPr>
          <w:rFonts w:ascii="Sylfaen" w:hAnsi="Sylfaen"/>
          <w:color w:val="auto"/>
          <w:szCs w:val="22"/>
        </w:rPr>
        <w:t>A</w:t>
      </w:r>
      <w:r w:rsidRPr="00786B92">
        <w:rPr>
          <w:rFonts w:ascii="Sylfaen" w:hAnsi="Sylfaen"/>
          <w:color w:val="auto"/>
          <w:szCs w:val="22"/>
        </w:rPr>
        <w:t>rrangements</w:t>
      </w:r>
      <w:bookmarkStart w:id="11" w:name="_Toc523473882"/>
      <w:bookmarkStart w:id="12" w:name="_Toc22304698"/>
      <w:bookmarkStart w:id="13" w:name="_Toc22487026"/>
      <w:bookmarkStart w:id="14" w:name="_Toc22487145"/>
      <w:bookmarkEnd w:id="6"/>
      <w:bookmarkEnd w:id="7"/>
      <w:bookmarkEnd w:id="8"/>
      <w:bookmarkEnd w:id="9"/>
      <w:bookmarkEnd w:id="10"/>
    </w:p>
    <w:p w14:paraId="11EA699E" w14:textId="2DBAE0C6" w:rsidR="00EC168A" w:rsidRPr="00786B92" w:rsidRDefault="00750CD6" w:rsidP="00D71273">
      <w:pPr>
        <w:spacing w:before="0" w:after="0"/>
        <w:jc w:val="both"/>
        <w:rPr>
          <w:rFonts w:ascii="Sylfaen" w:eastAsia="Times New Roman" w:hAnsi="Sylfaen" w:cs="Times New Roman"/>
          <w:color w:val="404040" w:themeColor="text1" w:themeTint="BF"/>
        </w:rPr>
      </w:pPr>
      <w:r w:rsidRPr="00786B92">
        <w:rPr>
          <w:rFonts w:ascii="Sylfaen" w:eastAsia="Times New Roman" w:hAnsi="Sylfaen" w:cs="Times New Roman"/>
        </w:rPr>
        <w:t xml:space="preserve">Access arrangements are agreed </w:t>
      </w:r>
      <w:r w:rsidRPr="00786B92">
        <w:rPr>
          <w:rFonts w:ascii="Sylfaen" w:eastAsia="Times New Roman" w:hAnsi="Sylfaen" w:cs="Times New Roman"/>
          <w:b/>
          <w:bCs/>
        </w:rPr>
        <w:t xml:space="preserve">before </w:t>
      </w:r>
      <w:r w:rsidRPr="00786B92">
        <w:rPr>
          <w:rFonts w:ascii="Sylfaen" w:eastAsia="Times New Roman" w:hAnsi="Sylfaen" w:cs="Times New Roman"/>
        </w:rPr>
        <w:t xml:space="preserve">an assessment. They allow candidates with </w:t>
      </w:r>
      <w:r w:rsidRPr="00786B92">
        <w:rPr>
          <w:rFonts w:ascii="Sylfaen" w:eastAsia="Times New Roman" w:hAnsi="Sylfaen" w:cs="Times New Roman"/>
          <w:b/>
          <w:bCs/>
        </w:rPr>
        <w:t>specific needs</w:t>
      </w:r>
      <w:r w:rsidRPr="00786B92">
        <w:rPr>
          <w:rFonts w:ascii="Sylfaen" w:eastAsia="Times New Roman" w:hAnsi="Sylfaen" w:cs="Times New Roman"/>
        </w:rPr>
        <w:t xml:space="preserve">, such as special educational needs, disabilities or temporary injuries to access the assessment and show what they know and can do without changing the demands of the assessment. The intention behind an access arrangement is to meet the needs of an individual candidate without affecting the integrity of the assessment. Access arrangements are the principal way in which awarding bodies comply with the duty under the Equality Act 2010* to make ‘reasonable adjustments’. </w:t>
      </w:r>
      <w:r w:rsidR="00674055" w:rsidRPr="00786B92">
        <w:rPr>
          <w:rFonts w:ascii="Sylfaen" w:eastAsia="Times New Roman" w:hAnsi="Sylfaen" w:cs="Times New Roman"/>
          <w:color w:val="404040" w:themeColor="text1" w:themeTint="BF"/>
        </w:rPr>
        <w:t>(</w:t>
      </w:r>
      <w:r w:rsidR="00674055" w:rsidRPr="00786B92">
        <w:rPr>
          <w:rFonts w:ascii="Sylfaen" w:eastAsia="Times New Roman" w:hAnsi="Sylfaen" w:cs="Times New Roman"/>
          <w:color w:val="404040" w:themeColor="text1" w:themeTint="BF"/>
          <w:vertAlign w:val="superscript"/>
        </w:rPr>
        <w:t>1</w:t>
      </w:r>
      <w:hyperlink r:id="rId10" w:history="1">
        <w:r w:rsidR="00674055" w:rsidRPr="00786B92">
          <w:rPr>
            <w:rStyle w:val="Hyperlink"/>
            <w:rFonts w:ascii="Sylfaen" w:hAnsi="Sylfaen"/>
            <w:color w:val="0070C0"/>
            <w:u w:val="none"/>
          </w:rPr>
          <w:t>AA</w:t>
        </w:r>
      </w:hyperlink>
      <w:r w:rsidR="006B2307" w:rsidRPr="00786B92">
        <w:rPr>
          <w:rFonts w:ascii="Sylfaen" w:eastAsia="Times New Roman" w:hAnsi="Sylfaen" w:cs="Times New Roman"/>
          <w:color w:val="404040" w:themeColor="text1" w:themeTint="BF"/>
        </w:rPr>
        <w:t xml:space="preserve">, </w:t>
      </w:r>
      <w:r w:rsidR="00674055" w:rsidRPr="00786B92">
        <w:rPr>
          <w:rFonts w:ascii="Sylfaen" w:eastAsia="Times New Roman" w:hAnsi="Sylfaen" w:cs="Times New Roman"/>
          <w:color w:val="404040" w:themeColor="text1" w:themeTint="BF"/>
        </w:rPr>
        <w:t>Definitions)</w:t>
      </w:r>
    </w:p>
    <w:p w14:paraId="754DCA44" w14:textId="77777777" w:rsidR="00D71273" w:rsidRPr="00786B92" w:rsidRDefault="00D71273" w:rsidP="00D71273">
      <w:pPr>
        <w:spacing w:before="0" w:after="0"/>
        <w:jc w:val="both"/>
        <w:rPr>
          <w:rFonts w:ascii="Sylfaen" w:eastAsia="Times New Roman" w:hAnsi="Sylfaen" w:cs="Times New Roman"/>
          <w:color w:val="404040" w:themeColor="text1" w:themeTint="BF"/>
        </w:rPr>
      </w:pPr>
    </w:p>
    <w:p w14:paraId="7024040E" w14:textId="3D23DB21" w:rsidR="000D1B7A" w:rsidRPr="00786B92" w:rsidRDefault="00844861" w:rsidP="00D71273">
      <w:pPr>
        <w:pStyle w:val="Headinglevel2"/>
        <w:spacing w:before="0" w:after="0"/>
        <w:jc w:val="both"/>
        <w:rPr>
          <w:rFonts w:ascii="Sylfaen" w:hAnsi="Sylfaen"/>
          <w:color w:val="auto"/>
          <w:szCs w:val="22"/>
        </w:rPr>
      </w:pPr>
      <w:bookmarkStart w:id="15" w:name="_Toc113029741"/>
      <w:r w:rsidRPr="00786B92">
        <w:rPr>
          <w:rFonts w:ascii="Sylfaen" w:hAnsi="Sylfaen"/>
          <w:color w:val="auto"/>
          <w:szCs w:val="22"/>
        </w:rPr>
        <w:t xml:space="preserve">Reasonable </w:t>
      </w:r>
      <w:r w:rsidR="00D71273" w:rsidRPr="00786B92">
        <w:rPr>
          <w:rFonts w:ascii="Sylfaen" w:hAnsi="Sylfaen"/>
          <w:color w:val="auto"/>
          <w:szCs w:val="22"/>
        </w:rPr>
        <w:t>A</w:t>
      </w:r>
      <w:r w:rsidRPr="00786B92">
        <w:rPr>
          <w:rFonts w:ascii="Sylfaen" w:hAnsi="Sylfaen"/>
          <w:color w:val="auto"/>
          <w:szCs w:val="22"/>
        </w:rPr>
        <w:t>djustments</w:t>
      </w:r>
      <w:bookmarkStart w:id="16" w:name="_Toc490083853"/>
      <w:bookmarkStart w:id="17" w:name="_Toc523473883"/>
      <w:bookmarkStart w:id="18" w:name="_Toc22304699"/>
      <w:bookmarkStart w:id="19" w:name="_Toc22487027"/>
      <w:bookmarkStart w:id="20" w:name="_Toc22487146"/>
      <w:bookmarkStart w:id="21" w:name="_Toc466921629"/>
      <w:bookmarkStart w:id="22" w:name="_Toc449469095"/>
      <w:bookmarkStart w:id="23" w:name="_Hlk523424464"/>
      <w:bookmarkEnd w:id="11"/>
      <w:bookmarkEnd w:id="12"/>
      <w:bookmarkEnd w:id="13"/>
      <w:bookmarkEnd w:id="14"/>
      <w:bookmarkEnd w:id="15"/>
    </w:p>
    <w:p w14:paraId="1BE07D45" w14:textId="2EA7B6DC" w:rsidR="00750CD6" w:rsidRPr="00786B92" w:rsidRDefault="00750CD6" w:rsidP="00D71273">
      <w:pPr>
        <w:spacing w:before="0" w:after="0"/>
        <w:jc w:val="both"/>
        <w:rPr>
          <w:rFonts w:ascii="Sylfaen" w:eastAsia="Times New Roman" w:hAnsi="Sylfaen" w:cs="Times New Roman"/>
        </w:rPr>
      </w:pPr>
      <w:r w:rsidRPr="00786B92">
        <w:rPr>
          <w:rFonts w:ascii="Sylfaen" w:eastAsia="Times New Roman" w:hAnsi="Sylfaen" w:cs="Times New Roman"/>
        </w:rPr>
        <w:t xml:space="preserve">The Equality Act 2010* requires an awarding body to make reasonable adjustments where a candidate, who is disabled within the meaning of the Equality Act 2010, would be at a </w:t>
      </w:r>
      <w:r w:rsidRPr="00786B92">
        <w:rPr>
          <w:rFonts w:ascii="Sylfaen" w:eastAsia="Times New Roman" w:hAnsi="Sylfaen" w:cs="Times New Roman"/>
          <w:b/>
          <w:bCs/>
        </w:rPr>
        <w:t>substantial disadvantage</w:t>
      </w:r>
      <w:r w:rsidRPr="00786B92">
        <w:rPr>
          <w:rFonts w:ascii="Sylfaen" w:eastAsia="Times New Roman" w:hAnsi="Sylfaen" w:cs="Times New Roman"/>
        </w:rPr>
        <w:t xml:space="preserve"> in comparison to someone who is not disabled. The awarding body is required to take reasonable steps to overcome that disadvantage. An example would be a Braille paper which would be a reasonable adjustment for a vision impaired candidate who could read Braille. A reasonable adjustment may be unique to that individual and may not be included in the list of available access arrangements. Whether an adjustment will be considered reasonable will depend on several factors which will include, but are not limited to: </w:t>
      </w:r>
    </w:p>
    <w:p w14:paraId="2E6570E7" w14:textId="6B73A4E2" w:rsidR="00D71273" w:rsidRPr="00786B92" w:rsidRDefault="00620A6E" w:rsidP="00D71273">
      <w:pPr>
        <w:pStyle w:val="ListParagraph"/>
        <w:numPr>
          <w:ilvl w:val="0"/>
          <w:numId w:val="31"/>
        </w:numPr>
        <w:spacing w:before="0" w:after="0"/>
        <w:rPr>
          <w:rFonts w:ascii="Sylfaen" w:eastAsia="Times New Roman" w:hAnsi="Sylfaen" w:cs="Times New Roman"/>
        </w:rPr>
      </w:pPr>
      <w:r w:rsidRPr="00786B92">
        <w:rPr>
          <w:rFonts w:ascii="Sylfaen" w:eastAsia="Times New Roman" w:hAnsi="Sylfaen" w:cs="Times New Roman"/>
        </w:rPr>
        <w:t>The nee</w:t>
      </w:r>
      <w:r w:rsidR="00D71273" w:rsidRPr="00786B92">
        <w:rPr>
          <w:rFonts w:ascii="Sylfaen" w:eastAsia="Times New Roman" w:hAnsi="Sylfaen" w:cs="Times New Roman"/>
        </w:rPr>
        <w:t>ds of the disabled candidate;</w:t>
      </w:r>
    </w:p>
    <w:p w14:paraId="1DF8879B" w14:textId="0A772623" w:rsidR="00D71273" w:rsidRPr="00786B92" w:rsidRDefault="00620A6E" w:rsidP="00D71273">
      <w:pPr>
        <w:pStyle w:val="ListParagraph"/>
        <w:numPr>
          <w:ilvl w:val="0"/>
          <w:numId w:val="31"/>
        </w:numPr>
        <w:spacing w:before="0" w:after="0"/>
        <w:rPr>
          <w:rFonts w:ascii="Sylfaen" w:eastAsia="Times New Roman" w:hAnsi="Sylfaen" w:cs="Times New Roman"/>
        </w:rPr>
      </w:pPr>
      <w:r w:rsidRPr="00786B92">
        <w:rPr>
          <w:rFonts w:ascii="Sylfaen" w:eastAsia="Times New Roman" w:hAnsi="Sylfaen" w:cs="Times New Roman"/>
        </w:rPr>
        <w:t>The effectiveness of the adjustment;</w:t>
      </w:r>
    </w:p>
    <w:p w14:paraId="2CE4F6E3" w14:textId="24703A58" w:rsidR="00D71273" w:rsidRPr="00786B92" w:rsidRDefault="00620A6E" w:rsidP="00D71273">
      <w:pPr>
        <w:pStyle w:val="ListParagraph"/>
        <w:numPr>
          <w:ilvl w:val="0"/>
          <w:numId w:val="31"/>
        </w:numPr>
        <w:spacing w:before="0" w:after="0"/>
        <w:rPr>
          <w:rFonts w:ascii="Sylfaen" w:eastAsia="Times New Roman" w:hAnsi="Sylfaen" w:cs="Times New Roman"/>
        </w:rPr>
      </w:pPr>
      <w:r w:rsidRPr="00786B92">
        <w:rPr>
          <w:rFonts w:ascii="Sylfaen" w:eastAsia="Times New Roman" w:hAnsi="Sylfaen" w:cs="Times New Roman"/>
        </w:rPr>
        <w:t xml:space="preserve">The cost of the adjustment; </w:t>
      </w:r>
      <w:r w:rsidR="00750CD6" w:rsidRPr="00786B92">
        <w:rPr>
          <w:rFonts w:ascii="Sylfaen" w:eastAsia="Times New Roman" w:hAnsi="Sylfaen" w:cs="Times New Roman"/>
          <w:b/>
          <w:bCs/>
        </w:rPr>
        <w:t>and</w:t>
      </w:r>
    </w:p>
    <w:p w14:paraId="0E32738C" w14:textId="0A90EC49" w:rsidR="00750CD6" w:rsidRPr="00786B92" w:rsidRDefault="00620A6E" w:rsidP="00D71273">
      <w:pPr>
        <w:pStyle w:val="ListParagraph"/>
        <w:numPr>
          <w:ilvl w:val="0"/>
          <w:numId w:val="31"/>
        </w:numPr>
        <w:spacing w:before="0" w:after="0"/>
        <w:rPr>
          <w:rFonts w:ascii="Sylfaen" w:eastAsia="Times New Roman" w:hAnsi="Sylfaen" w:cs="Times New Roman"/>
        </w:rPr>
      </w:pPr>
      <w:r w:rsidRPr="00786B92">
        <w:rPr>
          <w:rFonts w:ascii="Sylfaen" w:eastAsia="Times New Roman" w:hAnsi="Sylfaen" w:cs="Times New Roman"/>
        </w:rPr>
        <w:t>The likely impact of the adjustment upon the candidate and other can</w:t>
      </w:r>
      <w:r w:rsidR="00750CD6" w:rsidRPr="00786B92">
        <w:rPr>
          <w:rFonts w:ascii="Sylfaen" w:eastAsia="Times New Roman" w:hAnsi="Sylfaen" w:cs="Times New Roman"/>
        </w:rPr>
        <w:t xml:space="preserve">didates. </w:t>
      </w:r>
    </w:p>
    <w:p w14:paraId="3378879B" w14:textId="77777777" w:rsidR="00D71273" w:rsidRPr="00786B92" w:rsidRDefault="00D71273" w:rsidP="00D71273">
      <w:pPr>
        <w:spacing w:before="0" w:after="0"/>
        <w:rPr>
          <w:rFonts w:ascii="Sylfaen" w:eastAsia="Times New Roman" w:hAnsi="Sylfaen" w:cs="Times New Roman"/>
        </w:rPr>
      </w:pPr>
    </w:p>
    <w:p w14:paraId="4220D04D" w14:textId="3176BE8A" w:rsidR="0041491B" w:rsidRPr="00786B92" w:rsidRDefault="00750CD6" w:rsidP="00D71273">
      <w:pPr>
        <w:spacing w:before="0" w:after="0"/>
        <w:rPr>
          <w:rFonts w:ascii="Sylfaen" w:eastAsia="Times New Roman" w:hAnsi="Sylfaen" w:cs="Times New Roman"/>
        </w:rPr>
      </w:pPr>
      <w:r w:rsidRPr="00786B92">
        <w:rPr>
          <w:rFonts w:ascii="Sylfaen" w:eastAsia="Times New Roman" w:hAnsi="Sylfaen" w:cs="Times New Roman"/>
        </w:rPr>
        <w:t>An adjustment will not be approved if it:</w:t>
      </w:r>
    </w:p>
    <w:p w14:paraId="37829673" w14:textId="61C4FB64" w:rsidR="00827295" w:rsidRPr="00786B92" w:rsidRDefault="00620A6E" w:rsidP="00D71273">
      <w:pPr>
        <w:pStyle w:val="ListParagraph"/>
        <w:numPr>
          <w:ilvl w:val="0"/>
          <w:numId w:val="32"/>
        </w:numPr>
        <w:spacing w:before="0" w:after="0"/>
        <w:rPr>
          <w:rFonts w:ascii="Sylfaen" w:eastAsia="Times New Roman" w:hAnsi="Sylfaen" w:cs="Times New Roman"/>
        </w:rPr>
      </w:pPr>
      <w:r w:rsidRPr="00786B92">
        <w:rPr>
          <w:rFonts w:ascii="Sylfaen" w:eastAsia="Times New Roman" w:hAnsi="Sylfaen" w:cs="Times New Roman"/>
        </w:rPr>
        <w:t>Involves unreasonable costs to the awarding body;</w:t>
      </w:r>
    </w:p>
    <w:p w14:paraId="72216AFC" w14:textId="0CE908EA" w:rsidR="00D71273" w:rsidRPr="00786B92" w:rsidRDefault="00620A6E" w:rsidP="00D71273">
      <w:pPr>
        <w:pStyle w:val="ListParagraph"/>
        <w:numPr>
          <w:ilvl w:val="0"/>
          <w:numId w:val="32"/>
        </w:numPr>
        <w:spacing w:before="0" w:after="0"/>
        <w:rPr>
          <w:rFonts w:ascii="Sylfaen" w:eastAsia="Times New Roman" w:hAnsi="Sylfaen" w:cs="Times New Roman"/>
        </w:rPr>
      </w:pPr>
      <w:r w:rsidRPr="00786B92">
        <w:rPr>
          <w:rFonts w:ascii="Sylfaen" w:eastAsia="Times New Roman" w:hAnsi="Sylfaen" w:cs="Times New Roman"/>
        </w:rPr>
        <w:t xml:space="preserve">Involves unreasonable timeframes; </w:t>
      </w:r>
      <w:r w:rsidR="00750CD6" w:rsidRPr="00786B92">
        <w:rPr>
          <w:rFonts w:ascii="Sylfaen" w:eastAsia="Times New Roman" w:hAnsi="Sylfaen" w:cs="Times New Roman"/>
          <w:b/>
          <w:bCs/>
        </w:rPr>
        <w:t>or</w:t>
      </w:r>
      <w:r w:rsidR="00D71273" w:rsidRPr="00786B92">
        <w:rPr>
          <w:rFonts w:ascii="Sylfaen" w:eastAsia="Times New Roman" w:hAnsi="Sylfaen" w:cs="Times New Roman"/>
          <w:b/>
          <w:bCs/>
        </w:rPr>
        <w:t xml:space="preserve"> </w:t>
      </w:r>
    </w:p>
    <w:p w14:paraId="40876D2B" w14:textId="3B847F49" w:rsidR="00750CD6" w:rsidRPr="00786B92" w:rsidRDefault="00620A6E" w:rsidP="00D71273">
      <w:pPr>
        <w:pStyle w:val="ListParagraph"/>
        <w:numPr>
          <w:ilvl w:val="0"/>
          <w:numId w:val="32"/>
        </w:numPr>
        <w:spacing w:before="0" w:after="0"/>
        <w:rPr>
          <w:rFonts w:ascii="Sylfaen" w:eastAsia="Times New Roman" w:hAnsi="Sylfaen" w:cs="Times New Roman"/>
        </w:rPr>
      </w:pPr>
      <w:r w:rsidRPr="00786B92">
        <w:rPr>
          <w:rFonts w:ascii="Sylfaen" w:eastAsia="Times New Roman" w:hAnsi="Sylfaen" w:cs="Times New Roman"/>
        </w:rPr>
        <w:t xml:space="preserve">Affects the security and integrity of the assessment. </w:t>
      </w:r>
    </w:p>
    <w:p w14:paraId="3A6325E0" w14:textId="77777777" w:rsidR="00D71273" w:rsidRPr="00786B92" w:rsidRDefault="00D71273" w:rsidP="00D71273">
      <w:pPr>
        <w:spacing w:before="0" w:after="0"/>
        <w:jc w:val="both"/>
        <w:rPr>
          <w:rFonts w:ascii="Sylfaen" w:eastAsia="Times New Roman" w:hAnsi="Sylfaen" w:cs="Times New Roman"/>
        </w:rPr>
      </w:pPr>
    </w:p>
    <w:p w14:paraId="16387316" w14:textId="33D2D5DC" w:rsidR="00674055" w:rsidRPr="00786B92" w:rsidRDefault="00750CD6" w:rsidP="00D71273">
      <w:pPr>
        <w:spacing w:before="0" w:after="0"/>
        <w:jc w:val="both"/>
        <w:rPr>
          <w:rFonts w:ascii="Sylfaen" w:eastAsia="Times New Roman" w:hAnsi="Sylfaen" w:cs="Times New Roman"/>
          <w:color w:val="404040" w:themeColor="text1" w:themeTint="BF"/>
        </w:rPr>
      </w:pPr>
      <w:r w:rsidRPr="00786B92">
        <w:rPr>
          <w:rFonts w:ascii="Sylfaen" w:eastAsia="Times New Roman" w:hAnsi="Sylfaen" w:cs="Times New Roman"/>
        </w:rPr>
        <w:t xml:space="preserve">This is because the adjustment is not ‘reasonable’. </w:t>
      </w:r>
      <w:r w:rsidR="00674055" w:rsidRPr="00786B92">
        <w:rPr>
          <w:rFonts w:ascii="Sylfaen" w:eastAsia="Times New Roman" w:hAnsi="Sylfaen" w:cs="Times New Roman"/>
          <w:color w:val="404040" w:themeColor="text1" w:themeTint="BF"/>
        </w:rPr>
        <w:t>(</w:t>
      </w:r>
      <w:r w:rsidR="00674055" w:rsidRPr="00786B92">
        <w:rPr>
          <w:rFonts w:ascii="Sylfaen" w:eastAsia="Times New Roman" w:hAnsi="Sylfaen" w:cs="Times New Roman"/>
          <w:color w:val="404040" w:themeColor="text1" w:themeTint="BF"/>
          <w:vertAlign w:val="superscript"/>
        </w:rPr>
        <w:t>1</w:t>
      </w:r>
      <w:hyperlink r:id="rId11" w:history="1">
        <w:r w:rsidR="00674055" w:rsidRPr="00786B92">
          <w:rPr>
            <w:rStyle w:val="Hyperlink"/>
            <w:rFonts w:ascii="Sylfaen" w:hAnsi="Sylfaen"/>
            <w:color w:val="0070C0"/>
            <w:u w:val="none"/>
          </w:rPr>
          <w:t>AA</w:t>
        </w:r>
      </w:hyperlink>
      <w:r w:rsidR="0030181C" w:rsidRPr="00786B92">
        <w:rPr>
          <w:rFonts w:ascii="Sylfaen" w:eastAsia="Times New Roman" w:hAnsi="Sylfaen" w:cs="Times New Roman"/>
          <w:color w:val="404040" w:themeColor="text1" w:themeTint="BF"/>
        </w:rPr>
        <w:t xml:space="preserve">, </w:t>
      </w:r>
      <w:r w:rsidR="00674055" w:rsidRPr="00786B92">
        <w:rPr>
          <w:rFonts w:ascii="Sylfaen" w:eastAsia="Times New Roman" w:hAnsi="Sylfaen" w:cs="Times New Roman"/>
          <w:color w:val="404040" w:themeColor="text1" w:themeTint="BF"/>
        </w:rPr>
        <w:t>Definitions)</w:t>
      </w:r>
    </w:p>
    <w:p w14:paraId="61FB66B4" w14:textId="215A9978" w:rsidR="00827295" w:rsidRPr="00786B92" w:rsidRDefault="001C3535" w:rsidP="00D71273">
      <w:pPr>
        <w:spacing w:before="0" w:after="0"/>
        <w:jc w:val="both"/>
        <w:rPr>
          <w:rFonts w:ascii="Sylfaen" w:eastAsia="Times New Roman" w:hAnsi="Sylfaen" w:cs="Times New Roman"/>
        </w:rPr>
      </w:pPr>
      <w:r w:rsidRPr="00786B92">
        <w:rPr>
          <w:rFonts w:ascii="Sylfaen" w:eastAsia="Times New Roman" w:hAnsi="Sylfaen" w:cs="Times New Roman"/>
        </w:rPr>
        <w:t xml:space="preserve">*References to legislation are to the Equality Act 2010. Separate legislation is in place for Northern Ireland (see </w:t>
      </w:r>
      <w:hyperlink r:id="rId12" w:history="1">
        <w:r w:rsidRPr="00786B92">
          <w:rPr>
            <w:rStyle w:val="Hyperlink"/>
            <w:rFonts w:ascii="Sylfaen" w:hAnsi="Sylfaen"/>
            <w:color w:val="0070C0"/>
            <w:u w:val="none"/>
          </w:rPr>
          <w:t>AA</w:t>
        </w:r>
      </w:hyperlink>
      <w:r w:rsidRPr="00786B92">
        <w:rPr>
          <w:rFonts w:ascii="Sylfaen" w:eastAsia="Times New Roman" w:hAnsi="Sylfaen" w:cs="Times New Roman"/>
          <w:color w:val="0070C0"/>
        </w:rPr>
        <w:t xml:space="preserve"> </w:t>
      </w:r>
      <w:r w:rsidRPr="00786B92">
        <w:rPr>
          <w:rFonts w:ascii="Sylfaen" w:eastAsia="Times New Roman" w:hAnsi="Sylfaen" w:cs="Times New Roman"/>
        </w:rPr>
        <w:t xml:space="preserve">1.8). The definitions and procedures in </w:t>
      </w:r>
      <w:hyperlink r:id="rId13" w:history="1">
        <w:r w:rsidRPr="00786B92">
          <w:rPr>
            <w:rStyle w:val="Hyperlink"/>
            <w:rFonts w:ascii="Sylfaen" w:hAnsi="Sylfaen"/>
            <w:color w:val="0070C0"/>
            <w:u w:val="none"/>
          </w:rPr>
          <w:t>AA</w:t>
        </w:r>
      </w:hyperlink>
      <w:r w:rsidRPr="00786B92">
        <w:rPr>
          <w:rFonts w:ascii="Sylfaen" w:eastAsia="Times New Roman" w:hAnsi="Sylfaen" w:cs="Times New Roman"/>
        </w:rPr>
        <w:t xml:space="preserve"> relating to access arrangements and reasonable adjustments will also apply in Northern Ireland</w:t>
      </w:r>
    </w:p>
    <w:p w14:paraId="2BBE6244" w14:textId="77777777" w:rsidR="00D71273" w:rsidRPr="00786B92" w:rsidRDefault="00D71273" w:rsidP="00D71273">
      <w:pPr>
        <w:spacing w:before="0" w:after="0"/>
        <w:jc w:val="both"/>
        <w:rPr>
          <w:rFonts w:ascii="Sylfaen" w:eastAsia="Times New Roman" w:hAnsi="Sylfaen" w:cs="Times New Roman"/>
        </w:rPr>
      </w:pPr>
    </w:p>
    <w:p w14:paraId="790B8593" w14:textId="2A107430" w:rsidR="000D1B7A" w:rsidRPr="00786B92" w:rsidRDefault="00844861" w:rsidP="00D71273">
      <w:pPr>
        <w:pStyle w:val="Headinglevel1"/>
        <w:spacing w:before="0" w:after="0"/>
        <w:jc w:val="both"/>
        <w:rPr>
          <w:rFonts w:ascii="Sylfaen" w:hAnsi="Sylfaen"/>
          <w:sz w:val="22"/>
          <w:szCs w:val="22"/>
        </w:rPr>
      </w:pPr>
      <w:bookmarkStart w:id="24" w:name="_Toc113029742"/>
      <w:r w:rsidRPr="00786B92">
        <w:rPr>
          <w:rFonts w:ascii="Sylfaen" w:hAnsi="Sylfaen"/>
          <w:sz w:val="22"/>
          <w:szCs w:val="22"/>
        </w:rPr>
        <w:t>Purpose of the policy</w:t>
      </w:r>
      <w:bookmarkEnd w:id="16"/>
      <w:bookmarkEnd w:id="17"/>
      <w:bookmarkEnd w:id="18"/>
      <w:bookmarkEnd w:id="19"/>
      <w:bookmarkEnd w:id="20"/>
      <w:bookmarkEnd w:id="24"/>
    </w:p>
    <w:p w14:paraId="0EF7D376" w14:textId="63F87E7A" w:rsidR="00844861" w:rsidRPr="00786B92" w:rsidRDefault="00844861" w:rsidP="00D71273">
      <w:pPr>
        <w:spacing w:before="0" w:after="0"/>
        <w:jc w:val="both"/>
        <w:rPr>
          <w:rFonts w:ascii="Sylfaen" w:hAnsi="Sylfaen"/>
          <w:i/>
        </w:rPr>
      </w:pPr>
      <w:r w:rsidRPr="00786B92">
        <w:rPr>
          <w:rFonts w:ascii="Sylfaen" w:hAnsi="Sylfaen"/>
        </w:rPr>
        <w:t xml:space="preserve">The purpose of this policy is to confirm that </w:t>
      </w:r>
      <w:r w:rsidR="00D71273" w:rsidRPr="00786B92">
        <w:rPr>
          <w:rFonts w:ascii="Sylfaen" w:hAnsi="Sylfaen"/>
        </w:rPr>
        <w:t xml:space="preserve">Roman Fields Academy </w:t>
      </w:r>
      <w:r w:rsidR="00620A6E">
        <w:rPr>
          <w:rFonts w:ascii="Sylfaen" w:hAnsi="Sylfaen"/>
        </w:rPr>
        <w:t xml:space="preserve">and Forest House Education Centre </w:t>
      </w:r>
      <w:r w:rsidRPr="00786B92">
        <w:rPr>
          <w:rFonts w:ascii="Sylfaen" w:hAnsi="Sylfaen"/>
        </w:rPr>
        <w:t>ha</w:t>
      </w:r>
      <w:r w:rsidR="00620A6E">
        <w:rPr>
          <w:rFonts w:ascii="Sylfaen" w:hAnsi="Sylfaen"/>
        </w:rPr>
        <w:t>ve</w:t>
      </w:r>
      <w:r w:rsidRPr="00786B92">
        <w:rPr>
          <w:rFonts w:ascii="Sylfaen" w:hAnsi="Sylfaen"/>
        </w:rPr>
        <w:t xml:space="preserve"> a written record which clearly shows the centre is leading on the access arrangements process and is complying with its </w:t>
      </w:r>
      <w:r w:rsidR="00EB54FB" w:rsidRPr="00786B92">
        <w:rPr>
          <w:rFonts w:ascii="Sylfaen" w:hAnsi="Sylfaen"/>
          <w:iCs/>
          <w:color w:val="595959" w:themeColor="text1" w:themeTint="A6"/>
        </w:rPr>
        <w:t>…</w:t>
      </w:r>
      <w:r w:rsidRPr="00786B92">
        <w:rPr>
          <w:rFonts w:ascii="Sylfaen" w:hAnsi="Sylfaen"/>
          <w:iCs/>
        </w:rPr>
        <w:t>obligation to identify the need for, request and implement access arrangements</w:t>
      </w:r>
      <w:r w:rsidR="00227CC0" w:rsidRPr="00786B92">
        <w:rPr>
          <w:rFonts w:ascii="Sylfaen" w:hAnsi="Sylfaen"/>
          <w:iCs/>
        </w:rPr>
        <w:t>.</w:t>
      </w:r>
    </w:p>
    <w:p w14:paraId="5478212B" w14:textId="10D8AF98" w:rsidR="00844861" w:rsidRPr="00786B92" w:rsidRDefault="00D71273" w:rsidP="00D71273">
      <w:pPr>
        <w:pStyle w:val="ListParagraph"/>
        <w:tabs>
          <w:tab w:val="left" w:pos="10490"/>
        </w:tabs>
        <w:spacing w:before="0" w:after="0"/>
        <w:ind w:right="-11"/>
        <w:jc w:val="both"/>
        <w:rPr>
          <w:rFonts w:ascii="Sylfaen" w:hAnsi="Sylfaen"/>
          <w:color w:val="404040" w:themeColor="text1" w:themeTint="BF"/>
        </w:rPr>
      </w:pPr>
      <w:r w:rsidRPr="00786B92">
        <w:rPr>
          <w:rFonts w:ascii="Sylfaen" w:hAnsi="Sylfaen"/>
          <w:color w:val="404040" w:themeColor="text1" w:themeTint="BF"/>
        </w:rPr>
        <w:t xml:space="preserve">                                                                 </w:t>
      </w:r>
      <w:r w:rsidR="0041491B" w:rsidRPr="00786B92">
        <w:rPr>
          <w:rFonts w:ascii="Sylfaen" w:hAnsi="Sylfaen"/>
          <w:color w:val="404040" w:themeColor="text1" w:themeTint="BF"/>
        </w:rPr>
        <w:t>(</w:t>
      </w:r>
      <w:r w:rsidR="006B2307" w:rsidRPr="00786B92">
        <w:rPr>
          <w:rFonts w:ascii="Sylfaen" w:hAnsi="Sylfaen"/>
          <w:color w:val="404040" w:themeColor="text1" w:themeTint="BF"/>
        </w:rPr>
        <w:t xml:space="preserve">JCQ’s </w:t>
      </w:r>
      <w:r w:rsidR="00844861" w:rsidRPr="00786B92">
        <w:rPr>
          <w:rFonts w:ascii="Sylfaen" w:hAnsi="Sylfaen" w:cs="Arial"/>
          <w:b/>
          <w:bCs/>
          <w:color w:val="404040" w:themeColor="text1" w:themeTint="BF"/>
        </w:rPr>
        <w:t>General Regulations for Approved Centres</w:t>
      </w:r>
      <w:r w:rsidR="00844861" w:rsidRPr="00786B92">
        <w:rPr>
          <w:rFonts w:ascii="Sylfaen" w:hAnsi="Sylfaen" w:cs="Arial"/>
          <w:color w:val="404040" w:themeColor="text1" w:themeTint="BF"/>
        </w:rPr>
        <w:t xml:space="preserve">, </w:t>
      </w:r>
      <w:r w:rsidR="00033626" w:rsidRPr="00786B92">
        <w:rPr>
          <w:rFonts w:ascii="Sylfaen" w:hAnsi="Sylfaen" w:cs="Arial"/>
          <w:color w:val="404040" w:themeColor="text1" w:themeTint="BF"/>
        </w:rPr>
        <w:t xml:space="preserve">section </w:t>
      </w:r>
      <w:r w:rsidR="00844861" w:rsidRPr="00786B92">
        <w:rPr>
          <w:rFonts w:ascii="Sylfaen" w:hAnsi="Sylfaen"/>
          <w:color w:val="404040" w:themeColor="text1" w:themeTint="BF"/>
        </w:rPr>
        <w:t>5.</w:t>
      </w:r>
      <w:r w:rsidR="00033626" w:rsidRPr="00786B92">
        <w:rPr>
          <w:rFonts w:ascii="Sylfaen" w:hAnsi="Sylfaen"/>
          <w:color w:val="404040" w:themeColor="text1" w:themeTint="BF"/>
        </w:rPr>
        <w:t>4)</w:t>
      </w:r>
    </w:p>
    <w:p w14:paraId="5633BEFD" w14:textId="2F8909FC" w:rsidR="00674055" w:rsidRPr="00786B92" w:rsidRDefault="00D71273" w:rsidP="00D71273">
      <w:pPr>
        <w:spacing w:before="0" w:after="0"/>
        <w:jc w:val="both"/>
        <w:rPr>
          <w:rStyle w:val="Hyperlink"/>
          <w:rFonts w:ascii="Sylfaen" w:hAnsi="Sylfaen" w:cs="Arial"/>
          <w:color w:val="0070C0"/>
          <w:u w:val="none"/>
        </w:rPr>
      </w:pPr>
      <w:r w:rsidRPr="00786B92">
        <w:rPr>
          <w:rFonts w:ascii="Sylfaen" w:hAnsi="Sylfaen"/>
        </w:rPr>
        <w:t xml:space="preserve">                                                                               </w:t>
      </w:r>
      <w:r w:rsidR="00844861" w:rsidRPr="00786B92">
        <w:rPr>
          <w:rFonts w:ascii="Sylfaen" w:hAnsi="Sylfaen"/>
        </w:rPr>
        <w:t xml:space="preserve">This publication is further referred to in this policy as </w:t>
      </w:r>
      <w:hyperlink r:id="rId14" w:history="1">
        <w:r w:rsidR="00844861" w:rsidRPr="00786B92">
          <w:rPr>
            <w:rStyle w:val="Hyperlink"/>
            <w:rFonts w:ascii="Sylfaen" w:hAnsi="Sylfaen" w:cs="Arial"/>
            <w:color w:val="0070C0"/>
            <w:u w:val="none"/>
          </w:rPr>
          <w:t>GR</w:t>
        </w:r>
      </w:hyperlink>
    </w:p>
    <w:p w14:paraId="3750D161" w14:textId="77777777" w:rsidR="00D71273" w:rsidRPr="00786B92" w:rsidRDefault="00D71273" w:rsidP="00D71273">
      <w:pPr>
        <w:spacing w:before="0" w:after="0"/>
        <w:jc w:val="both"/>
        <w:rPr>
          <w:rFonts w:ascii="Sylfaen" w:hAnsi="Sylfaen" w:cs="Arial"/>
          <w:color w:val="0000FF" w:themeColor="hyperlink"/>
        </w:rPr>
      </w:pPr>
    </w:p>
    <w:p w14:paraId="73196432" w14:textId="6765D107" w:rsidR="00844861" w:rsidRPr="00786B92" w:rsidRDefault="00844861" w:rsidP="00D71273">
      <w:pPr>
        <w:tabs>
          <w:tab w:val="left" w:pos="10490"/>
        </w:tabs>
        <w:spacing w:before="0" w:after="0"/>
        <w:ind w:right="-11"/>
        <w:jc w:val="both"/>
        <w:rPr>
          <w:rFonts w:ascii="Sylfaen" w:eastAsia="Times New Roman" w:hAnsi="Sylfaen"/>
        </w:rPr>
      </w:pPr>
      <w:r w:rsidRPr="00786B92">
        <w:rPr>
          <w:rFonts w:ascii="Sylfaen" w:eastAsia="Times New Roman" w:hAnsi="Sylfaen"/>
        </w:rPr>
        <w:t>This polic</w:t>
      </w:r>
      <w:r w:rsidR="0048722D" w:rsidRPr="00786B92">
        <w:rPr>
          <w:rFonts w:ascii="Sylfaen" w:eastAsia="Times New Roman" w:hAnsi="Sylfaen"/>
        </w:rPr>
        <w:t>y is maintained and held by the SENDCo</w:t>
      </w:r>
      <w:r w:rsidRPr="00786B92">
        <w:rPr>
          <w:rFonts w:ascii="Sylfaen" w:eastAsia="Times New Roman" w:hAnsi="Sylfaen"/>
        </w:rPr>
        <w:t xml:space="preserve"> alongside the individual files</w:t>
      </w:r>
      <w:r w:rsidR="0065583E" w:rsidRPr="00786B92">
        <w:rPr>
          <w:rFonts w:ascii="Sylfaen" w:eastAsia="Times New Roman" w:hAnsi="Sylfaen"/>
        </w:rPr>
        <w:t>/e-folders</w:t>
      </w:r>
      <w:r w:rsidRPr="00786B92">
        <w:rPr>
          <w:rFonts w:ascii="Sylfaen" w:eastAsia="Times New Roman" w:hAnsi="Sylfaen"/>
        </w:rPr>
        <w:t xml:space="preserve"> of each access arrangements candidate. Each file</w:t>
      </w:r>
      <w:r w:rsidR="0065583E" w:rsidRPr="00786B92">
        <w:rPr>
          <w:rFonts w:ascii="Sylfaen" w:eastAsia="Times New Roman" w:hAnsi="Sylfaen"/>
        </w:rPr>
        <w:t>/e-folder</w:t>
      </w:r>
      <w:r w:rsidRPr="00786B92">
        <w:rPr>
          <w:rFonts w:ascii="Sylfaen" w:eastAsia="Times New Roman" w:hAnsi="Sylfaen"/>
        </w:rPr>
        <w:t xml:space="preserve"> contains detailed records of all the essential information that is required to be held according to the regulations. </w:t>
      </w:r>
    </w:p>
    <w:p w14:paraId="428EC3F8" w14:textId="77777777" w:rsidR="00D71273" w:rsidRPr="00786B92" w:rsidRDefault="00D71273" w:rsidP="00D71273">
      <w:pPr>
        <w:tabs>
          <w:tab w:val="left" w:pos="10490"/>
        </w:tabs>
        <w:spacing w:before="0" w:after="0"/>
        <w:ind w:right="-11"/>
        <w:jc w:val="both"/>
        <w:rPr>
          <w:rFonts w:ascii="Sylfaen" w:eastAsia="Times New Roman" w:hAnsi="Sylfaen"/>
        </w:rPr>
      </w:pPr>
    </w:p>
    <w:p w14:paraId="71F97C5B" w14:textId="4190952D" w:rsidR="00614339" w:rsidRPr="00786B92" w:rsidRDefault="00614339" w:rsidP="00D71273">
      <w:pPr>
        <w:spacing w:before="0" w:after="0"/>
        <w:jc w:val="both"/>
        <w:rPr>
          <w:rFonts w:ascii="Sylfaen" w:eastAsia="Times New Roman" w:hAnsi="Sylfaen" w:cs="Times New Roman"/>
          <w:color w:val="404040" w:themeColor="text1" w:themeTint="BF"/>
        </w:rPr>
      </w:pPr>
      <w:r w:rsidRPr="00786B92">
        <w:rPr>
          <w:rFonts w:ascii="Sylfaen" w:eastAsia="Times New Roman" w:hAnsi="Sylfaen" w:cs="Times New Roman"/>
        </w:rPr>
        <w:t>Where the SEN</w:t>
      </w:r>
      <w:r w:rsidR="00D71273" w:rsidRPr="00786B92">
        <w:rPr>
          <w:rFonts w:ascii="Sylfaen" w:eastAsia="Times New Roman" w:hAnsi="Sylfaen" w:cs="Times New Roman"/>
        </w:rPr>
        <w:t>D</w:t>
      </w:r>
      <w:r w:rsidRPr="00786B92">
        <w:rPr>
          <w:rFonts w:ascii="Sylfaen" w:eastAsia="Times New Roman" w:hAnsi="Sylfaen" w:cs="Times New Roman"/>
        </w:rPr>
        <w:t xml:space="preserve">Co is storing documentation electronically he/she </w:t>
      </w:r>
      <w:r w:rsidRPr="00786B92">
        <w:rPr>
          <w:rFonts w:ascii="Sylfaen" w:eastAsia="Times New Roman" w:hAnsi="Sylfaen" w:cs="Times New Roman"/>
          <w:b/>
          <w:bCs/>
        </w:rPr>
        <w:t>mus</w:t>
      </w:r>
      <w:r w:rsidRPr="00786B92">
        <w:rPr>
          <w:rFonts w:ascii="Sylfaen" w:eastAsia="Times New Roman" w:hAnsi="Sylfaen" w:cs="Times New Roman"/>
        </w:rPr>
        <w:t xml:space="preserve">t create an e-folder for each individual candidate. The candidate’s e-folder must hold each of the required documents for inspection. </w:t>
      </w:r>
      <w:r w:rsidR="006B2307" w:rsidRPr="00786B92">
        <w:rPr>
          <w:rFonts w:ascii="Sylfaen" w:eastAsia="Times New Roman" w:hAnsi="Sylfaen" w:cs="Times New Roman"/>
          <w:color w:val="404040" w:themeColor="text1" w:themeTint="BF"/>
        </w:rPr>
        <w:t>(</w:t>
      </w:r>
      <w:r w:rsidR="006B2307" w:rsidRPr="00786B92">
        <w:rPr>
          <w:rFonts w:ascii="Sylfaen" w:eastAsia="Times New Roman" w:hAnsi="Sylfaen" w:cs="Times New Roman"/>
          <w:color w:val="404040" w:themeColor="text1" w:themeTint="BF"/>
          <w:vertAlign w:val="superscript"/>
        </w:rPr>
        <w:t>1</w:t>
      </w:r>
      <w:hyperlink r:id="rId15" w:history="1">
        <w:r w:rsidR="006B2307" w:rsidRPr="00786B92">
          <w:rPr>
            <w:rStyle w:val="Hyperlink"/>
            <w:rFonts w:ascii="Sylfaen" w:hAnsi="Sylfaen"/>
            <w:color w:val="0070C0"/>
            <w:u w:val="none"/>
          </w:rPr>
          <w:t>AA</w:t>
        </w:r>
      </w:hyperlink>
      <w:r w:rsidR="006B2307" w:rsidRPr="00786B92">
        <w:rPr>
          <w:rStyle w:val="Hyperlink"/>
          <w:rFonts w:ascii="Sylfaen" w:hAnsi="Sylfaen"/>
          <w:color w:val="0070C0"/>
          <w:u w:val="none"/>
        </w:rPr>
        <w:t>,</w:t>
      </w:r>
      <w:r w:rsidR="006B2307" w:rsidRPr="00786B92">
        <w:rPr>
          <w:rFonts w:ascii="Sylfaen" w:eastAsia="Times New Roman" w:hAnsi="Sylfaen" w:cs="Times New Roman"/>
          <w:color w:val="404040" w:themeColor="text1" w:themeTint="BF"/>
        </w:rPr>
        <w:t xml:space="preserve"> section 4.2)</w:t>
      </w:r>
    </w:p>
    <w:p w14:paraId="3D4BF84E" w14:textId="77777777" w:rsidR="00D71273" w:rsidRPr="00786B92" w:rsidRDefault="00D71273" w:rsidP="00D71273">
      <w:pPr>
        <w:spacing w:before="0" w:after="0"/>
        <w:jc w:val="both"/>
        <w:rPr>
          <w:rFonts w:ascii="Sylfaen" w:eastAsia="Times New Roman" w:hAnsi="Sylfaen" w:cs="Times New Roman"/>
          <w:color w:val="404040" w:themeColor="text1" w:themeTint="BF"/>
        </w:rPr>
      </w:pPr>
    </w:p>
    <w:p w14:paraId="3025CACD" w14:textId="4C2381A4" w:rsidR="00844861" w:rsidRPr="00786B92" w:rsidRDefault="00844861" w:rsidP="00D71273">
      <w:pPr>
        <w:spacing w:before="0" w:after="0"/>
        <w:jc w:val="both"/>
        <w:rPr>
          <w:rFonts w:ascii="Sylfaen" w:hAnsi="Sylfaen"/>
        </w:rPr>
      </w:pPr>
      <w:r w:rsidRPr="00786B92">
        <w:rPr>
          <w:rFonts w:ascii="Sylfaen" w:hAnsi="Sylfaen"/>
        </w:rPr>
        <w:t xml:space="preserve">The policy is annually reviewed to ensure that processes are carried out in accordance with the current edition of the JCQ publication </w:t>
      </w:r>
      <w:r w:rsidR="0030181C" w:rsidRPr="00786B92">
        <w:rPr>
          <w:rFonts w:ascii="Sylfaen" w:hAnsi="Sylfaen"/>
        </w:rPr>
        <w:t>‘</w:t>
      </w:r>
      <w:r w:rsidRPr="00786B92">
        <w:rPr>
          <w:rFonts w:ascii="Sylfaen" w:hAnsi="Sylfaen" w:cs="Arial"/>
          <w:bCs/>
        </w:rPr>
        <w:t>Adjustments for candidates with disabilities and learning difficulties</w:t>
      </w:r>
      <w:r w:rsidRPr="00786B92">
        <w:rPr>
          <w:rFonts w:ascii="Sylfaen" w:hAnsi="Sylfaen"/>
        </w:rPr>
        <w:t xml:space="preserve"> </w:t>
      </w:r>
      <w:r w:rsidR="009362F6" w:rsidRPr="00786B92">
        <w:rPr>
          <w:rFonts w:ascii="Sylfaen" w:hAnsi="Sylfaen"/>
        </w:rPr>
        <w:t xml:space="preserve">- </w:t>
      </w:r>
      <w:r w:rsidRPr="00786B92">
        <w:rPr>
          <w:rFonts w:ascii="Sylfaen" w:hAnsi="Sylfaen" w:cs="Arial"/>
          <w:b/>
        </w:rPr>
        <w:t>Access Arrangements and Reasonable Adjustments</w:t>
      </w:r>
      <w:r w:rsidR="0030181C" w:rsidRPr="00786B92">
        <w:rPr>
          <w:rFonts w:ascii="Sylfaen" w:hAnsi="Sylfaen" w:cs="Arial"/>
          <w:bCs/>
        </w:rPr>
        <w:t>’</w:t>
      </w:r>
      <w:r w:rsidRPr="00786B92">
        <w:rPr>
          <w:rFonts w:ascii="Sylfaen" w:hAnsi="Sylfaen" w:cs="Arial"/>
          <w:bCs/>
        </w:rPr>
        <w:t>.</w:t>
      </w:r>
      <w:r w:rsidR="000C2701" w:rsidRPr="00786B92">
        <w:rPr>
          <w:rFonts w:ascii="Sylfaen" w:hAnsi="Sylfaen" w:cs="Arial"/>
        </w:rPr>
        <w:t xml:space="preserve"> </w:t>
      </w:r>
    </w:p>
    <w:p w14:paraId="34E1DF08" w14:textId="5F301132" w:rsidR="00844861" w:rsidRPr="00786B92" w:rsidRDefault="00D71273" w:rsidP="00D71273">
      <w:pPr>
        <w:spacing w:before="0" w:after="0"/>
        <w:jc w:val="both"/>
        <w:rPr>
          <w:rStyle w:val="Hyperlink"/>
          <w:rFonts w:ascii="Sylfaen" w:hAnsi="Sylfaen" w:cs="Arial"/>
          <w:color w:val="0070C0"/>
          <w:u w:val="none"/>
        </w:rPr>
      </w:pPr>
      <w:r w:rsidRPr="00786B92">
        <w:rPr>
          <w:rFonts w:ascii="Sylfaen" w:hAnsi="Sylfaen" w:cs="Arial"/>
          <w:bCs/>
          <w:color w:val="404040" w:themeColor="text1" w:themeTint="BF"/>
          <w:vertAlign w:val="superscript"/>
        </w:rPr>
        <w:t xml:space="preserve">                                                                                                                                                   </w:t>
      </w:r>
      <w:r w:rsidR="006B2307" w:rsidRPr="00786B92">
        <w:rPr>
          <w:rFonts w:ascii="Sylfaen" w:hAnsi="Sylfaen" w:cs="Arial"/>
          <w:bCs/>
          <w:color w:val="404040" w:themeColor="text1" w:themeTint="BF"/>
          <w:vertAlign w:val="superscript"/>
        </w:rPr>
        <w:t>1</w:t>
      </w:r>
      <w:r w:rsidR="00844861" w:rsidRPr="00786B92">
        <w:rPr>
          <w:rFonts w:ascii="Sylfaen" w:hAnsi="Sylfaen" w:cs="Arial"/>
          <w:bCs/>
        </w:rPr>
        <w:t xml:space="preserve">This publication is further referred to in this policy as </w:t>
      </w:r>
      <w:hyperlink r:id="rId16" w:history="1">
        <w:r w:rsidR="00844861" w:rsidRPr="00786B92">
          <w:rPr>
            <w:rStyle w:val="Hyperlink"/>
            <w:rFonts w:ascii="Sylfaen" w:hAnsi="Sylfaen" w:cs="Arial"/>
            <w:color w:val="0070C0"/>
            <w:u w:val="none"/>
          </w:rPr>
          <w:t>AA</w:t>
        </w:r>
      </w:hyperlink>
    </w:p>
    <w:p w14:paraId="317C405A" w14:textId="7CC87D47" w:rsidR="00D71273" w:rsidRPr="00786B92" w:rsidRDefault="00D71273" w:rsidP="00D71273">
      <w:pPr>
        <w:spacing w:before="0" w:after="0"/>
        <w:jc w:val="both"/>
        <w:rPr>
          <w:rFonts w:ascii="Sylfaen" w:hAnsi="Sylfaen" w:cs="Arial"/>
        </w:rPr>
      </w:pPr>
    </w:p>
    <w:p w14:paraId="327B0BCC" w14:textId="77777777" w:rsidR="00BA5FF8" w:rsidRPr="00786B92" w:rsidRDefault="00BA5FF8" w:rsidP="00D71273">
      <w:pPr>
        <w:spacing w:before="0" w:after="0"/>
        <w:jc w:val="both"/>
        <w:rPr>
          <w:rFonts w:ascii="Sylfaen" w:hAnsi="Sylfaen" w:cs="Arial"/>
        </w:rPr>
      </w:pPr>
    </w:p>
    <w:p w14:paraId="72C06444" w14:textId="6F149243" w:rsidR="0057135F" w:rsidRPr="00786B92" w:rsidRDefault="00BD76D4" w:rsidP="00D71273">
      <w:pPr>
        <w:pStyle w:val="Headinglevel1"/>
        <w:spacing w:before="0" w:after="0"/>
        <w:jc w:val="both"/>
        <w:rPr>
          <w:rFonts w:ascii="Sylfaen" w:hAnsi="Sylfaen"/>
          <w:sz w:val="22"/>
          <w:szCs w:val="22"/>
        </w:rPr>
      </w:pPr>
      <w:bookmarkStart w:id="25" w:name="_Toc113029743"/>
      <w:bookmarkStart w:id="26" w:name="_Toc490083854"/>
      <w:bookmarkStart w:id="27" w:name="_Toc496088793"/>
      <w:bookmarkStart w:id="28" w:name="_Toc523473884"/>
      <w:bookmarkStart w:id="29" w:name="_Toc22304700"/>
      <w:bookmarkStart w:id="30" w:name="_Toc22487028"/>
      <w:bookmarkStart w:id="31" w:name="_Toc22487147"/>
      <w:bookmarkStart w:id="32" w:name="_Toc443593739"/>
      <w:bookmarkStart w:id="33" w:name="_Toc466921640"/>
      <w:bookmarkEnd w:id="21"/>
      <w:bookmarkEnd w:id="22"/>
      <w:bookmarkEnd w:id="23"/>
      <w:r w:rsidRPr="00786B92">
        <w:rPr>
          <w:rFonts w:ascii="Sylfaen" w:hAnsi="Sylfaen"/>
          <w:sz w:val="22"/>
          <w:szCs w:val="22"/>
        </w:rPr>
        <w:t>General</w:t>
      </w:r>
      <w:r w:rsidR="0057135F" w:rsidRPr="00786B92">
        <w:rPr>
          <w:rFonts w:ascii="Sylfaen" w:hAnsi="Sylfaen"/>
          <w:sz w:val="22"/>
          <w:szCs w:val="22"/>
        </w:rPr>
        <w:t xml:space="preserve"> principles</w:t>
      </w:r>
      <w:bookmarkEnd w:id="25"/>
    </w:p>
    <w:p w14:paraId="2FB50123" w14:textId="00B366F9" w:rsidR="0057135F" w:rsidRPr="00786B92" w:rsidRDefault="0057135F" w:rsidP="00D71273">
      <w:pPr>
        <w:spacing w:before="0" w:after="0"/>
        <w:jc w:val="both"/>
        <w:rPr>
          <w:rFonts w:ascii="Sylfaen" w:hAnsi="Sylfaen" w:cs="Arial"/>
        </w:rPr>
      </w:pPr>
      <w:r w:rsidRPr="00786B92">
        <w:rPr>
          <w:rFonts w:ascii="Sylfaen" w:hAnsi="Sylfaen"/>
        </w:rPr>
        <w:t xml:space="preserve">The principles for the centre to consider are detailed in </w:t>
      </w:r>
      <w:hyperlink r:id="rId17" w:history="1">
        <w:r w:rsidRPr="00786B92">
          <w:rPr>
            <w:rStyle w:val="Hyperlink"/>
            <w:rFonts w:ascii="Sylfaen" w:hAnsi="Sylfaen" w:cs="Arial"/>
            <w:color w:val="0070C0"/>
            <w:u w:val="none"/>
          </w:rPr>
          <w:t>AA</w:t>
        </w:r>
      </w:hyperlink>
      <w:r w:rsidRPr="00786B92">
        <w:rPr>
          <w:rFonts w:ascii="Sylfaen" w:hAnsi="Sylfaen" w:cs="Arial"/>
        </w:rPr>
        <w:t xml:space="preserve"> </w:t>
      </w:r>
      <w:r w:rsidRPr="00786B92">
        <w:rPr>
          <w:rFonts w:ascii="Sylfaen" w:hAnsi="Sylfaen" w:cs="Arial"/>
          <w:color w:val="404040" w:themeColor="text1" w:themeTint="BF"/>
        </w:rPr>
        <w:t>(section 4.2)</w:t>
      </w:r>
      <w:r w:rsidRPr="00786B92">
        <w:rPr>
          <w:rFonts w:ascii="Sylfaen" w:hAnsi="Sylfaen" w:cs="Arial"/>
        </w:rPr>
        <w:t>. These include:</w:t>
      </w:r>
    </w:p>
    <w:p w14:paraId="7D821813" w14:textId="77777777" w:rsidR="00D71273" w:rsidRPr="00786B92" w:rsidRDefault="00D71273" w:rsidP="00D71273">
      <w:pPr>
        <w:spacing w:before="0" w:after="0"/>
        <w:jc w:val="both"/>
        <w:rPr>
          <w:rFonts w:ascii="Sylfaen" w:eastAsia="Times New Roman" w:hAnsi="Sylfaen" w:cs="Tahoma"/>
        </w:rPr>
      </w:pPr>
    </w:p>
    <w:p w14:paraId="12E14EFB" w14:textId="47AE272E" w:rsidR="0057135F" w:rsidRDefault="0057135F" w:rsidP="00D71273">
      <w:pPr>
        <w:spacing w:before="0" w:after="0"/>
        <w:jc w:val="both"/>
        <w:rPr>
          <w:rFonts w:ascii="Sylfaen" w:eastAsia="Times New Roman" w:hAnsi="Sylfaen" w:cs="Tahoma"/>
        </w:rPr>
      </w:pPr>
      <w:r w:rsidRPr="00786B92">
        <w:rPr>
          <w:rFonts w:ascii="Sylfaen" w:eastAsia="Times New Roman" w:hAnsi="Sylfaen" w:cs="Tahoma"/>
        </w:rPr>
        <w:t>The purpose of an access arrangement</w:t>
      </w:r>
      <w:r w:rsidR="00EE6EAE" w:rsidRPr="00786B92">
        <w:rPr>
          <w:rFonts w:ascii="Sylfaen" w:eastAsia="Times New Roman" w:hAnsi="Sylfaen" w:cs="Tahoma"/>
        </w:rPr>
        <w:t>/reasonable adjustment</w:t>
      </w:r>
      <w:r w:rsidRPr="00786B92">
        <w:rPr>
          <w:rFonts w:ascii="Sylfaen" w:eastAsia="Times New Roman" w:hAnsi="Sylfaen" w:cs="Tahoma"/>
        </w:rPr>
        <w:t xml:space="preserve"> is to ensure, where possible, that barriers to assessment are removed for a disabled candidate preventing him/her from being placed at a substantial disadvantage due to persistent and significant difficulties. The integrity of the assessment is maintained, whilst at the same time providing access to assessments for disabled candidate. </w:t>
      </w:r>
    </w:p>
    <w:p w14:paraId="7F21ECCE" w14:textId="77777777" w:rsidR="00620A6E" w:rsidRPr="00786B92" w:rsidRDefault="00620A6E" w:rsidP="00D71273">
      <w:pPr>
        <w:spacing w:before="0" w:after="0"/>
        <w:jc w:val="both"/>
        <w:rPr>
          <w:rFonts w:ascii="Sylfaen" w:eastAsia="Times New Roman" w:hAnsi="Sylfaen" w:cs="Tahoma"/>
        </w:rPr>
      </w:pPr>
    </w:p>
    <w:p w14:paraId="11A825C0" w14:textId="0E2F5182" w:rsidR="00EE6EAE" w:rsidRPr="00786B92" w:rsidRDefault="0057135F" w:rsidP="00D71273">
      <w:pPr>
        <w:pStyle w:val="ListParagraph"/>
        <w:numPr>
          <w:ilvl w:val="0"/>
          <w:numId w:val="33"/>
        </w:numPr>
        <w:spacing w:before="0" w:after="0"/>
        <w:jc w:val="both"/>
        <w:rPr>
          <w:rFonts w:ascii="Sylfaen" w:eastAsia="Times New Roman" w:hAnsi="Sylfaen" w:cs="Tahoma"/>
        </w:rPr>
      </w:pPr>
      <w:r w:rsidRPr="00786B92">
        <w:rPr>
          <w:rFonts w:ascii="Sylfaen" w:eastAsia="Times New Roman" w:hAnsi="Sylfaen" w:cs="Tahoma"/>
        </w:rPr>
        <w:t>The SEN</w:t>
      </w:r>
      <w:r w:rsidR="00D71273" w:rsidRPr="00786B92">
        <w:rPr>
          <w:rFonts w:ascii="Sylfaen" w:eastAsia="Times New Roman" w:hAnsi="Sylfaen" w:cs="Tahoma"/>
        </w:rPr>
        <w:t>D</w:t>
      </w:r>
      <w:r w:rsidRPr="00786B92">
        <w:rPr>
          <w:rFonts w:ascii="Sylfaen" w:eastAsia="Times New Roman" w:hAnsi="Sylfaen" w:cs="Tahoma"/>
        </w:rPr>
        <w:t xml:space="preserve">Co, or an equivalent member of staff within a FE college, </w:t>
      </w:r>
      <w:r w:rsidRPr="00786B92">
        <w:rPr>
          <w:rFonts w:ascii="Sylfaen" w:eastAsia="Times New Roman" w:hAnsi="Sylfaen" w:cs="Tahoma"/>
          <w:b/>
          <w:bCs/>
        </w:rPr>
        <w:t xml:space="preserve">must </w:t>
      </w:r>
      <w:r w:rsidRPr="00786B92">
        <w:rPr>
          <w:rFonts w:ascii="Sylfaen" w:eastAsia="Times New Roman" w:hAnsi="Sylfaen" w:cs="Tahoma"/>
        </w:rPr>
        <w:t xml:space="preserve">ensure that the </w:t>
      </w:r>
      <w:r w:rsidRPr="00786B92">
        <w:rPr>
          <w:rFonts w:ascii="Sylfaen" w:eastAsia="Times New Roman" w:hAnsi="Sylfaen" w:cs="Times New Roman"/>
        </w:rPr>
        <w:t>p</w:t>
      </w:r>
      <w:r w:rsidRPr="00786B92">
        <w:rPr>
          <w:rFonts w:ascii="Sylfaen" w:eastAsia="Times New Roman" w:hAnsi="Sylfaen" w:cs="Tahoma"/>
        </w:rPr>
        <w:t>roposed access arrangement</w:t>
      </w:r>
      <w:r w:rsidR="00EE6EAE" w:rsidRPr="00786B92">
        <w:rPr>
          <w:rFonts w:ascii="Sylfaen" w:eastAsia="Times New Roman" w:hAnsi="Sylfaen" w:cs="Tahoma"/>
        </w:rPr>
        <w:t>/reasonable adjustment</w:t>
      </w:r>
      <w:r w:rsidRPr="00786B92">
        <w:rPr>
          <w:rFonts w:ascii="Sylfaen" w:eastAsia="Times New Roman" w:hAnsi="Sylfaen" w:cs="Tahoma"/>
        </w:rPr>
        <w:t xml:space="preserve"> does not </w:t>
      </w:r>
      <w:r w:rsidR="00EE6EAE" w:rsidRPr="00786B92">
        <w:rPr>
          <w:rFonts w:ascii="Sylfaen" w:eastAsia="Times New Roman" w:hAnsi="Sylfaen" w:cs="Tahoma"/>
        </w:rPr>
        <w:t xml:space="preserve">unfairly </w:t>
      </w:r>
      <w:r w:rsidRPr="00786B92">
        <w:rPr>
          <w:rFonts w:ascii="Sylfaen" w:eastAsia="Times New Roman" w:hAnsi="Sylfaen" w:cs="Tahoma"/>
        </w:rPr>
        <w:t>disadvantage or advantage the candidate.</w:t>
      </w:r>
    </w:p>
    <w:p w14:paraId="63147A57" w14:textId="3056EBFD" w:rsidR="00EE6EAE" w:rsidRPr="00786B92" w:rsidRDefault="00EE6EAE" w:rsidP="00D71273">
      <w:pPr>
        <w:pStyle w:val="ListParagraph"/>
        <w:numPr>
          <w:ilvl w:val="0"/>
          <w:numId w:val="33"/>
        </w:numPr>
        <w:spacing w:before="0" w:after="0"/>
        <w:jc w:val="both"/>
        <w:rPr>
          <w:rFonts w:ascii="Sylfaen" w:eastAsia="Times New Roman" w:hAnsi="Sylfaen" w:cs="Tahoma"/>
        </w:rPr>
      </w:pPr>
      <w:r w:rsidRPr="00786B92">
        <w:rPr>
          <w:rFonts w:ascii="Sylfaen" w:eastAsia="Times New Roman" w:hAnsi="Sylfaen" w:cs="Times New Roman"/>
        </w:rPr>
        <w:t xml:space="preserve">Access arrangements/reasonable adjustments should be processed at the </w:t>
      </w:r>
      <w:r w:rsidRPr="00786B92">
        <w:rPr>
          <w:rFonts w:ascii="Sylfaen" w:eastAsia="Times New Roman" w:hAnsi="Sylfaen" w:cs="Times New Roman"/>
          <w:b/>
          <w:bCs/>
        </w:rPr>
        <w:t xml:space="preserve">start </w:t>
      </w:r>
      <w:r w:rsidRPr="00786B92">
        <w:rPr>
          <w:rFonts w:ascii="Sylfaen" w:eastAsia="Times New Roman" w:hAnsi="Sylfaen" w:cs="Times New Roman"/>
        </w:rPr>
        <w:t xml:space="preserve">of the course. </w:t>
      </w:r>
    </w:p>
    <w:p w14:paraId="0D991FE5" w14:textId="77777777" w:rsidR="00D50C6B" w:rsidRPr="00786B92" w:rsidRDefault="0057135F" w:rsidP="00D71273">
      <w:pPr>
        <w:pStyle w:val="ListParagraph"/>
        <w:numPr>
          <w:ilvl w:val="0"/>
          <w:numId w:val="33"/>
        </w:numPr>
        <w:spacing w:before="0" w:after="0"/>
        <w:jc w:val="both"/>
        <w:rPr>
          <w:rFonts w:ascii="Sylfaen" w:eastAsia="Times New Roman" w:hAnsi="Sylfaen" w:cs="Tahoma"/>
        </w:rPr>
      </w:pPr>
      <w:r w:rsidRPr="00786B92">
        <w:rPr>
          <w:rFonts w:ascii="Sylfaen" w:eastAsia="Times New Roman" w:hAnsi="Sylfaen" w:cs="Tahoma"/>
        </w:rPr>
        <w:t xml:space="preserve">Arrangements </w:t>
      </w:r>
      <w:r w:rsidRPr="00786B92">
        <w:rPr>
          <w:rFonts w:ascii="Sylfaen" w:eastAsia="Times New Roman" w:hAnsi="Sylfaen" w:cs="Tahoma"/>
          <w:b/>
          <w:bCs/>
        </w:rPr>
        <w:t>must</w:t>
      </w:r>
      <w:r w:rsidRPr="00786B92">
        <w:rPr>
          <w:rFonts w:ascii="Sylfaen" w:eastAsia="Times New Roman" w:hAnsi="Sylfaen" w:cs="Tahoma"/>
        </w:rPr>
        <w:t xml:space="preserve"> always be approved </w:t>
      </w:r>
      <w:r w:rsidRPr="00786B92">
        <w:rPr>
          <w:rFonts w:ascii="Sylfaen" w:eastAsia="Times New Roman" w:hAnsi="Sylfaen" w:cs="Tahoma"/>
          <w:b/>
          <w:bCs/>
        </w:rPr>
        <w:t>before</w:t>
      </w:r>
      <w:r w:rsidRPr="00786B92">
        <w:rPr>
          <w:rFonts w:ascii="Sylfaen" w:eastAsia="Times New Roman" w:hAnsi="Sylfaen" w:cs="Tahoma"/>
        </w:rPr>
        <w:t xml:space="preserve"> an examination or assessment. </w:t>
      </w:r>
    </w:p>
    <w:p w14:paraId="45BA912A" w14:textId="77777777" w:rsidR="00D50C6B" w:rsidRPr="00786B92" w:rsidRDefault="0057135F" w:rsidP="00D71273">
      <w:pPr>
        <w:pStyle w:val="ListParagraph"/>
        <w:numPr>
          <w:ilvl w:val="0"/>
          <w:numId w:val="33"/>
        </w:numPr>
        <w:spacing w:before="0" w:after="0"/>
        <w:jc w:val="both"/>
        <w:rPr>
          <w:rFonts w:ascii="Sylfaen" w:eastAsia="Times New Roman" w:hAnsi="Sylfaen" w:cs="Tahoma"/>
        </w:rPr>
      </w:pPr>
      <w:r w:rsidRPr="00786B92">
        <w:rPr>
          <w:rFonts w:ascii="Sylfaen" w:eastAsia="Times New Roman" w:hAnsi="Sylfaen" w:cs="Tahoma"/>
        </w:rPr>
        <w:t xml:space="preserve">The arrangement(s) put in place </w:t>
      </w:r>
      <w:r w:rsidRPr="00786B92">
        <w:rPr>
          <w:rFonts w:ascii="Sylfaen" w:eastAsia="Times New Roman" w:hAnsi="Sylfaen" w:cs="Tahoma"/>
          <w:b/>
          <w:bCs/>
        </w:rPr>
        <w:t>must</w:t>
      </w:r>
      <w:r w:rsidRPr="00786B92">
        <w:rPr>
          <w:rFonts w:ascii="Sylfaen" w:eastAsia="Times New Roman" w:hAnsi="Sylfaen" w:cs="Tahoma"/>
        </w:rPr>
        <w:t xml:space="preserve"> reflect the support given to the candidate in the centr</w:t>
      </w:r>
      <w:r w:rsidR="00D50C6B" w:rsidRPr="00786B92">
        <w:rPr>
          <w:rFonts w:ascii="Sylfaen" w:eastAsia="Times New Roman" w:hAnsi="Sylfaen" w:cs="Tahoma"/>
        </w:rPr>
        <w:t>e.</w:t>
      </w:r>
    </w:p>
    <w:p w14:paraId="4DADE944" w14:textId="07AB8785" w:rsidR="00D50C6B" w:rsidRPr="00786B92" w:rsidRDefault="00D50C6B" w:rsidP="00D71273">
      <w:pPr>
        <w:pStyle w:val="ListParagraph"/>
        <w:numPr>
          <w:ilvl w:val="0"/>
          <w:numId w:val="33"/>
        </w:numPr>
        <w:spacing w:before="0" w:after="0"/>
        <w:jc w:val="both"/>
        <w:rPr>
          <w:rFonts w:ascii="Sylfaen" w:eastAsia="Times New Roman" w:hAnsi="Sylfaen" w:cs="Tahoma"/>
        </w:rPr>
      </w:pPr>
      <w:r w:rsidRPr="00786B92">
        <w:rPr>
          <w:rFonts w:ascii="Sylfaen" w:hAnsi="Sylfaen" w:cs="Tahoma"/>
        </w:rPr>
        <w:t xml:space="preserve">The candidate </w:t>
      </w:r>
      <w:r w:rsidRPr="00786B92">
        <w:rPr>
          <w:rFonts w:ascii="Sylfaen" w:hAnsi="Sylfaen" w:cs="Tahoma"/>
          <w:b/>
          <w:bCs/>
        </w:rPr>
        <w:t xml:space="preserve">must </w:t>
      </w:r>
      <w:r w:rsidRPr="00786B92">
        <w:rPr>
          <w:rFonts w:ascii="Sylfaen" w:hAnsi="Sylfaen" w:cs="Tahoma"/>
        </w:rPr>
        <w:t>have had appropriate opportunities to practise using the access arrangement(s)</w:t>
      </w:r>
      <w:r w:rsidR="00EE6EAE" w:rsidRPr="00786B92">
        <w:rPr>
          <w:rFonts w:ascii="Sylfaen" w:hAnsi="Sylfaen" w:cs="Tahoma"/>
        </w:rPr>
        <w:t>/reasonable adjustment(s)</w:t>
      </w:r>
      <w:r w:rsidRPr="00786B92">
        <w:rPr>
          <w:rFonts w:ascii="Sylfaen" w:hAnsi="Sylfaen" w:cs="Tahoma"/>
        </w:rPr>
        <w:t xml:space="preserve"> before his/her first examination. </w:t>
      </w:r>
    </w:p>
    <w:p w14:paraId="4C88F038" w14:textId="77777777" w:rsidR="00D71273" w:rsidRPr="00786B92" w:rsidRDefault="00D71273" w:rsidP="00D71273">
      <w:pPr>
        <w:pStyle w:val="Headinglevel1"/>
        <w:spacing w:before="0" w:after="0"/>
        <w:jc w:val="both"/>
        <w:rPr>
          <w:rFonts w:ascii="Sylfaen" w:hAnsi="Sylfaen"/>
          <w:sz w:val="22"/>
          <w:szCs w:val="22"/>
        </w:rPr>
      </w:pPr>
      <w:bookmarkStart w:id="34" w:name="_Toc113029744"/>
    </w:p>
    <w:p w14:paraId="58361776" w14:textId="33FEAEE9" w:rsidR="00844861" w:rsidRPr="00786B92" w:rsidRDefault="00033626" w:rsidP="00D71273">
      <w:pPr>
        <w:pStyle w:val="Headinglevel1"/>
        <w:spacing w:before="0" w:after="0"/>
        <w:jc w:val="both"/>
        <w:rPr>
          <w:rFonts w:ascii="Sylfaen" w:hAnsi="Sylfaen"/>
          <w:sz w:val="22"/>
          <w:szCs w:val="22"/>
        </w:rPr>
      </w:pPr>
      <w:r w:rsidRPr="00786B92">
        <w:rPr>
          <w:rFonts w:ascii="Sylfaen" w:hAnsi="Sylfaen"/>
          <w:sz w:val="22"/>
          <w:szCs w:val="22"/>
        </w:rPr>
        <w:t>Equalities</w:t>
      </w:r>
      <w:r w:rsidR="00844861" w:rsidRPr="00786B92">
        <w:rPr>
          <w:rFonts w:ascii="Sylfaen" w:hAnsi="Sylfaen"/>
          <w:sz w:val="22"/>
          <w:szCs w:val="22"/>
        </w:rPr>
        <w:t xml:space="preserve"> </w:t>
      </w:r>
      <w:r w:rsidR="00072C6F" w:rsidRPr="00786B92">
        <w:rPr>
          <w:rFonts w:ascii="Sylfaen" w:hAnsi="Sylfaen"/>
          <w:sz w:val="22"/>
          <w:szCs w:val="22"/>
        </w:rPr>
        <w:t>P</w:t>
      </w:r>
      <w:r w:rsidR="00844861" w:rsidRPr="00786B92">
        <w:rPr>
          <w:rFonts w:ascii="Sylfaen" w:hAnsi="Sylfaen"/>
          <w:sz w:val="22"/>
          <w:szCs w:val="22"/>
        </w:rPr>
        <w:t>olicy (</w:t>
      </w:r>
      <w:r w:rsidR="00D32BEF" w:rsidRPr="00786B92">
        <w:rPr>
          <w:rFonts w:ascii="Sylfaen" w:hAnsi="Sylfaen"/>
          <w:sz w:val="22"/>
          <w:szCs w:val="22"/>
        </w:rPr>
        <w:t>E</w:t>
      </w:r>
      <w:r w:rsidR="00844861" w:rsidRPr="00786B92">
        <w:rPr>
          <w:rFonts w:ascii="Sylfaen" w:hAnsi="Sylfaen"/>
          <w:sz w:val="22"/>
          <w:szCs w:val="22"/>
        </w:rPr>
        <w:t>xams)</w:t>
      </w:r>
      <w:bookmarkEnd w:id="26"/>
      <w:bookmarkEnd w:id="27"/>
      <w:bookmarkEnd w:id="28"/>
      <w:bookmarkEnd w:id="29"/>
      <w:bookmarkEnd w:id="30"/>
      <w:bookmarkEnd w:id="31"/>
      <w:bookmarkEnd w:id="34"/>
    </w:p>
    <w:p w14:paraId="66C00DEC" w14:textId="77777777" w:rsidR="00D71273" w:rsidRPr="00786B92" w:rsidRDefault="00D71273" w:rsidP="00D71273">
      <w:pPr>
        <w:spacing w:before="0"/>
        <w:jc w:val="both"/>
        <w:rPr>
          <w:rFonts w:ascii="Sylfaen" w:hAnsi="Sylfaen"/>
        </w:rPr>
      </w:pPr>
      <w:bookmarkStart w:id="35" w:name="_Toc443593725"/>
      <w:bookmarkStart w:id="36" w:name="_Toc466921631"/>
      <w:bookmarkStart w:id="37" w:name="_Toc490083855"/>
      <w:bookmarkStart w:id="38" w:name="_Toc496088794"/>
      <w:bookmarkStart w:id="39" w:name="_Toc523473885"/>
      <w:bookmarkStart w:id="40" w:name="_Toc22304701"/>
      <w:bookmarkStart w:id="41" w:name="_Toc22487029"/>
      <w:bookmarkStart w:id="42" w:name="_Toc22487148"/>
      <w:bookmarkStart w:id="43" w:name="_Toc113029745"/>
      <w:r w:rsidRPr="00786B92">
        <w:rPr>
          <w:rFonts w:ascii="Sylfaen" w:hAnsi="Sylfaen"/>
        </w:rPr>
        <w:t>A large part of the access arrangements/reasonable adjustments process is covered in the Equalities Policy (Exams) which covers staff roles and responsibilities in identifying the need for, requesting and implementing access arrangements and the conduct of exams.</w:t>
      </w:r>
    </w:p>
    <w:p w14:paraId="70E3106A" w14:textId="3158818D" w:rsidR="00D71273" w:rsidRPr="00786B92" w:rsidRDefault="00D71273" w:rsidP="00D71273">
      <w:pPr>
        <w:pStyle w:val="Headinglevel2"/>
        <w:spacing w:before="0" w:after="0"/>
        <w:jc w:val="both"/>
        <w:rPr>
          <w:rFonts w:ascii="Sylfaen" w:hAnsi="Sylfaen" w:cstheme="minorHAnsi"/>
          <w:b w:val="0"/>
          <w:color w:val="auto"/>
          <w:szCs w:val="22"/>
        </w:rPr>
      </w:pPr>
      <w:r w:rsidRPr="00786B92">
        <w:rPr>
          <w:rFonts w:ascii="Sylfaen" w:hAnsi="Sylfaen" w:cs="Tahoma"/>
          <w:b w:val="0"/>
          <w:color w:val="auto"/>
          <w:szCs w:val="22"/>
        </w:rPr>
        <w:t xml:space="preserve">A hard copy of the Equalities Policy (Exams) is </w:t>
      </w:r>
      <w:r w:rsidRPr="00786B92">
        <w:rPr>
          <w:rFonts w:ascii="Sylfaen" w:hAnsi="Sylfaen" w:cstheme="minorHAnsi"/>
          <w:b w:val="0"/>
          <w:color w:val="auto"/>
          <w:szCs w:val="22"/>
        </w:rPr>
        <w:t xml:space="preserve">located is located with the Exam Officer. It is also electronically stored on the staff shared drive &gt; policies &gt; exam policies. </w:t>
      </w:r>
    </w:p>
    <w:p w14:paraId="2B6EC615" w14:textId="77777777" w:rsidR="0048722D" w:rsidRPr="00786B92" w:rsidRDefault="0048722D" w:rsidP="00D71273">
      <w:pPr>
        <w:pStyle w:val="Headinglevel2"/>
        <w:spacing w:before="0" w:after="0"/>
        <w:jc w:val="both"/>
        <w:rPr>
          <w:rFonts w:ascii="Sylfaen" w:hAnsi="Sylfaen" w:cstheme="minorHAnsi"/>
          <w:b w:val="0"/>
          <w:color w:val="auto"/>
          <w:szCs w:val="22"/>
        </w:rPr>
      </w:pPr>
    </w:p>
    <w:p w14:paraId="51F9B21C" w14:textId="4849CDCB" w:rsidR="00D71273" w:rsidRPr="00786B92" w:rsidRDefault="00D71273" w:rsidP="00BA5FF8">
      <w:pPr>
        <w:spacing w:before="0" w:after="0"/>
        <w:jc w:val="both"/>
        <w:rPr>
          <w:rFonts w:ascii="Sylfaen" w:hAnsi="Sylfaen"/>
        </w:rPr>
      </w:pPr>
      <w:r w:rsidRPr="00786B92">
        <w:rPr>
          <w:rFonts w:ascii="Sylfaen" w:hAnsi="Sylfaen"/>
        </w:rPr>
        <w:t>The Access Arrangements Policy further covers the assessment process and related issues in more detail.</w:t>
      </w:r>
    </w:p>
    <w:p w14:paraId="5268BAEA" w14:textId="77777777" w:rsidR="00BA5FF8" w:rsidRPr="00786B92" w:rsidRDefault="00BA5FF8" w:rsidP="00BA5FF8">
      <w:pPr>
        <w:spacing w:before="0" w:after="0"/>
        <w:jc w:val="both"/>
        <w:rPr>
          <w:rFonts w:ascii="Sylfaen" w:hAnsi="Sylfaen"/>
        </w:rPr>
      </w:pPr>
    </w:p>
    <w:p w14:paraId="1D7A11CF" w14:textId="14CEC011" w:rsidR="00844861" w:rsidRPr="00786B92" w:rsidRDefault="00BA5FF8" w:rsidP="00D71273">
      <w:pPr>
        <w:pStyle w:val="Headinglevel1"/>
        <w:spacing w:before="0" w:after="0"/>
        <w:jc w:val="both"/>
        <w:rPr>
          <w:rFonts w:ascii="Sylfaen" w:hAnsi="Sylfaen"/>
          <w:sz w:val="22"/>
          <w:szCs w:val="22"/>
        </w:rPr>
      </w:pPr>
      <w:r w:rsidRPr="00786B92">
        <w:rPr>
          <w:rFonts w:ascii="Sylfaen" w:hAnsi="Sylfaen"/>
          <w:sz w:val="22"/>
          <w:szCs w:val="22"/>
        </w:rPr>
        <w:t>The A</w:t>
      </w:r>
      <w:r w:rsidR="00844861" w:rsidRPr="00786B92">
        <w:rPr>
          <w:rFonts w:ascii="Sylfaen" w:hAnsi="Sylfaen"/>
          <w:sz w:val="22"/>
          <w:szCs w:val="22"/>
        </w:rPr>
        <w:t xml:space="preserve">ssessment </w:t>
      </w:r>
      <w:r w:rsidRPr="00786B92">
        <w:rPr>
          <w:rFonts w:ascii="Sylfaen" w:hAnsi="Sylfaen"/>
          <w:sz w:val="22"/>
          <w:szCs w:val="22"/>
        </w:rPr>
        <w:t>P</w:t>
      </w:r>
      <w:r w:rsidR="00844861" w:rsidRPr="00786B92">
        <w:rPr>
          <w:rFonts w:ascii="Sylfaen" w:hAnsi="Sylfaen"/>
          <w:sz w:val="22"/>
          <w:szCs w:val="22"/>
        </w:rPr>
        <w:t>rocess</w:t>
      </w:r>
      <w:bookmarkEnd w:id="35"/>
      <w:bookmarkEnd w:id="36"/>
      <w:bookmarkEnd w:id="37"/>
      <w:bookmarkEnd w:id="38"/>
      <w:bookmarkEnd w:id="39"/>
      <w:bookmarkEnd w:id="40"/>
      <w:bookmarkEnd w:id="41"/>
      <w:bookmarkEnd w:id="42"/>
      <w:bookmarkEnd w:id="43"/>
    </w:p>
    <w:p w14:paraId="7B4872ED" w14:textId="0C42FCE2" w:rsidR="00D71273" w:rsidRPr="00786B92" w:rsidRDefault="00D71273" w:rsidP="00BA5FF8">
      <w:pPr>
        <w:spacing w:before="0" w:after="0"/>
        <w:jc w:val="both"/>
        <w:rPr>
          <w:rFonts w:ascii="Sylfaen" w:hAnsi="Sylfaen" w:cs="Arial"/>
        </w:rPr>
      </w:pPr>
      <w:r w:rsidRPr="00786B92">
        <w:rPr>
          <w:rFonts w:ascii="Sylfaen" w:hAnsi="Sylfaen"/>
        </w:rPr>
        <w:t xml:space="preserve">Assessments are carried out by an assessor(s) appointed by the head of centre.  The assessor(s) is (are) appropriately qualified as required by JCQ regulations in </w:t>
      </w:r>
      <w:hyperlink r:id="rId18" w:history="1">
        <w:r w:rsidRPr="00786B92">
          <w:rPr>
            <w:rStyle w:val="Hyperlink"/>
            <w:rFonts w:ascii="Sylfaen" w:hAnsi="Sylfaen" w:cs="Arial"/>
            <w:u w:val="none"/>
          </w:rPr>
          <w:t>AA</w:t>
        </w:r>
      </w:hyperlink>
      <w:r w:rsidRPr="00786B92">
        <w:rPr>
          <w:rStyle w:val="Hyperlink"/>
          <w:rFonts w:ascii="Sylfaen" w:hAnsi="Sylfaen" w:cs="Arial"/>
          <w:color w:val="auto"/>
          <w:u w:val="none"/>
        </w:rPr>
        <w:t xml:space="preserve">, section </w:t>
      </w:r>
      <w:r w:rsidRPr="00786B92">
        <w:rPr>
          <w:rFonts w:ascii="Sylfaen" w:hAnsi="Sylfaen" w:cs="Arial"/>
        </w:rPr>
        <w:t>7.3.</w:t>
      </w:r>
    </w:p>
    <w:p w14:paraId="7487339C" w14:textId="0C6A585F" w:rsidR="0051063A" w:rsidRPr="00786B92" w:rsidRDefault="0051063A" w:rsidP="00BA5FF8">
      <w:pPr>
        <w:spacing w:before="0" w:after="0"/>
        <w:jc w:val="both"/>
        <w:rPr>
          <w:rFonts w:ascii="Sylfaen" w:hAnsi="Sylfaen" w:cs="Arial"/>
        </w:rPr>
      </w:pPr>
    </w:p>
    <w:p w14:paraId="66CCE6A3" w14:textId="587DB1F6" w:rsidR="0051063A" w:rsidRDefault="0051063A" w:rsidP="00BA5FF8">
      <w:pPr>
        <w:spacing w:before="0" w:after="0"/>
        <w:jc w:val="both"/>
        <w:rPr>
          <w:rFonts w:ascii="Sylfaen" w:hAnsi="Sylfaen" w:cs="Arial"/>
        </w:rPr>
      </w:pPr>
      <w:r w:rsidRPr="00786B92">
        <w:rPr>
          <w:rFonts w:ascii="Sylfaen" w:hAnsi="Sylfaen" w:cs="Arial"/>
        </w:rPr>
        <w:t>Access Arrangements</w:t>
      </w:r>
      <w:r w:rsidR="00620A6E">
        <w:rPr>
          <w:rFonts w:ascii="Sylfaen" w:hAnsi="Sylfaen" w:cs="Arial"/>
        </w:rPr>
        <w:t xml:space="preserve"> for Forest House Education Centre </w:t>
      </w:r>
      <w:r w:rsidRPr="00786B92">
        <w:rPr>
          <w:rFonts w:ascii="Sylfaen" w:hAnsi="Sylfaen" w:cs="Arial"/>
        </w:rPr>
        <w:t xml:space="preserve">were carried out by Ms C.Wells from Longdean School that holds a Certificate in Psychometric Testing Assessment and Access Arrangements (CPT3A) qualification from Real Training Middlesex University. </w:t>
      </w:r>
    </w:p>
    <w:p w14:paraId="6921197C" w14:textId="7606E088" w:rsidR="00620A6E" w:rsidRDefault="00620A6E" w:rsidP="00BA5FF8">
      <w:pPr>
        <w:spacing w:before="0" w:after="0"/>
        <w:jc w:val="both"/>
        <w:rPr>
          <w:rFonts w:ascii="Sylfaen" w:hAnsi="Sylfaen" w:cs="Arial"/>
        </w:rPr>
      </w:pPr>
    </w:p>
    <w:p w14:paraId="6F5B908A" w14:textId="77777777" w:rsidR="00620A6E" w:rsidRPr="00786B92" w:rsidRDefault="00620A6E" w:rsidP="00620A6E">
      <w:pPr>
        <w:pStyle w:val="Headinglevel1"/>
        <w:spacing w:before="0" w:after="0"/>
        <w:jc w:val="both"/>
        <w:rPr>
          <w:rFonts w:ascii="Sylfaen" w:eastAsiaTheme="minorEastAsia" w:hAnsi="Sylfaen" w:cstheme="minorBidi"/>
          <w:b w:val="0"/>
          <w:color w:val="auto"/>
          <w:sz w:val="22"/>
          <w:szCs w:val="22"/>
        </w:rPr>
      </w:pPr>
      <w:r w:rsidRPr="00786B92">
        <w:rPr>
          <w:rFonts w:ascii="Sylfaen" w:eastAsiaTheme="minorEastAsia" w:hAnsi="Sylfaen" w:cstheme="minorBidi"/>
          <w:b w:val="0"/>
          <w:color w:val="auto"/>
          <w:sz w:val="22"/>
          <w:szCs w:val="22"/>
        </w:rPr>
        <w:t xml:space="preserve">Roman Fields Academy pupils all have an EHCP; needs vary and include MLD, SLD, SPLCN, physical disability, SEMH and behavioural difficulties, ASD etc. The SENDCo will decide whether and what additional evidence, other than that documented in the candidates EHCP is required to ensure that they can access an assessment, without gaining an unfair advantage. As such, there may be occasions where a picture of need is not demonstrated on the candidate’s EHCP and further evidence, including assessment, may be required, i.e. a picture of need has been painted as required in Part 1 of Form 8.  </w:t>
      </w:r>
    </w:p>
    <w:p w14:paraId="001E0445" w14:textId="77777777" w:rsidR="00BA5FF8" w:rsidRPr="00786B92" w:rsidRDefault="00BA5FF8" w:rsidP="00BA5FF8">
      <w:pPr>
        <w:spacing w:before="0" w:after="0"/>
        <w:jc w:val="both"/>
        <w:rPr>
          <w:rFonts w:ascii="Sylfaen" w:hAnsi="Sylfaen" w:cs="Arial"/>
        </w:rPr>
      </w:pPr>
    </w:p>
    <w:p w14:paraId="27FD824A" w14:textId="522352D6" w:rsidR="00844861" w:rsidRPr="00786B92" w:rsidRDefault="0051063A" w:rsidP="00D71273">
      <w:pPr>
        <w:pStyle w:val="Headinglevel1"/>
        <w:spacing w:before="0" w:after="0"/>
        <w:jc w:val="both"/>
        <w:rPr>
          <w:rFonts w:ascii="Sylfaen" w:hAnsi="Sylfaen"/>
          <w:sz w:val="22"/>
          <w:szCs w:val="22"/>
        </w:rPr>
      </w:pPr>
      <w:bookmarkStart w:id="44" w:name="_Toc523473887"/>
      <w:bookmarkStart w:id="45" w:name="_Toc22304703"/>
      <w:bookmarkStart w:id="46" w:name="_Toc22487031"/>
      <w:bookmarkStart w:id="47" w:name="_Toc22487150"/>
      <w:bookmarkStart w:id="48" w:name="_Toc113029747"/>
      <w:bookmarkStart w:id="49" w:name="_Toc466921632"/>
      <w:bookmarkStart w:id="50" w:name="_Toc490083857"/>
      <w:bookmarkStart w:id="51" w:name="_Toc496088796"/>
      <w:r w:rsidRPr="00786B92">
        <w:rPr>
          <w:rFonts w:ascii="Sylfaen" w:hAnsi="Sylfaen"/>
          <w:sz w:val="22"/>
          <w:szCs w:val="22"/>
        </w:rPr>
        <w:t>Appointment of A</w:t>
      </w:r>
      <w:r w:rsidR="00844861" w:rsidRPr="00786B92">
        <w:rPr>
          <w:rFonts w:ascii="Sylfaen" w:hAnsi="Sylfaen"/>
          <w:sz w:val="22"/>
          <w:szCs w:val="22"/>
        </w:rPr>
        <w:t xml:space="preserve">ssessors of </w:t>
      </w:r>
      <w:r w:rsidRPr="00786B92">
        <w:rPr>
          <w:rFonts w:ascii="Sylfaen" w:hAnsi="Sylfaen"/>
          <w:sz w:val="22"/>
          <w:szCs w:val="22"/>
        </w:rPr>
        <w:t>C</w:t>
      </w:r>
      <w:r w:rsidR="00844861" w:rsidRPr="00786B92">
        <w:rPr>
          <w:rFonts w:ascii="Sylfaen" w:hAnsi="Sylfaen"/>
          <w:sz w:val="22"/>
          <w:szCs w:val="22"/>
        </w:rPr>
        <w:t xml:space="preserve">andidates with </w:t>
      </w:r>
      <w:r w:rsidRPr="00786B92">
        <w:rPr>
          <w:rFonts w:ascii="Sylfaen" w:hAnsi="Sylfaen"/>
          <w:sz w:val="22"/>
          <w:szCs w:val="22"/>
        </w:rPr>
        <w:t>L</w:t>
      </w:r>
      <w:r w:rsidR="00844861" w:rsidRPr="00786B92">
        <w:rPr>
          <w:rFonts w:ascii="Sylfaen" w:hAnsi="Sylfaen"/>
          <w:sz w:val="22"/>
          <w:szCs w:val="22"/>
        </w:rPr>
        <w:t xml:space="preserve">earning </w:t>
      </w:r>
      <w:r w:rsidRPr="00786B92">
        <w:rPr>
          <w:rFonts w:ascii="Sylfaen" w:hAnsi="Sylfaen"/>
          <w:sz w:val="22"/>
          <w:szCs w:val="22"/>
        </w:rPr>
        <w:t>D</w:t>
      </w:r>
      <w:r w:rsidR="00844861" w:rsidRPr="00786B92">
        <w:rPr>
          <w:rFonts w:ascii="Sylfaen" w:hAnsi="Sylfaen"/>
          <w:sz w:val="22"/>
          <w:szCs w:val="22"/>
        </w:rPr>
        <w:t>ifficulties</w:t>
      </w:r>
      <w:bookmarkEnd w:id="44"/>
      <w:bookmarkEnd w:id="45"/>
      <w:bookmarkEnd w:id="46"/>
      <w:bookmarkEnd w:id="47"/>
      <w:bookmarkEnd w:id="48"/>
    </w:p>
    <w:p w14:paraId="437C1465" w14:textId="7EB11130" w:rsidR="00844861" w:rsidRPr="00786B92" w:rsidRDefault="00844861" w:rsidP="00D71273">
      <w:pPr>
        <w:spacing w:before="0" w:after="0"/>
        <w:jc w:val="both"/>
        <w:rPr>
          <w:rFonts w:ascii="Sylfaen" w:hAnsi="Sylfaen"/>
        </w:rPr>
      </w:pPr>
      <w:r w:rsidRPr="00786B92">
        <w:rPr>
          <w:rFonts w:ascii="Sylfaen" w:hAnsi="Sylfaen"/>
        </w:rPr>
        <w:t xml:space="preserve">At the point an assessor is engaged/employed in the centre, evidence of the assessor’s qualification is obtained and checked against the current requirements in </w:t>
      </w:r>
      <w:hyperlink r:id="rId19" w:history="1">
        <w:r w:rsidRPr="00786B92">
          <w:rPr>
            <w:rStyle w:val="Hyperlink"/>
            <w:rFonts w:ascii="Sylfaen" w:hAnsi="Sylfaen" w:cs="Arial"/>
            <w:color w:val="0070C0"/>
            <w:u w:val="none"/>
          </w:rPr>
          <w:t>AA</w:t>
        </w:r>
      </w:hyperlink>
      <w:r w:rsidRPr="00786B92">
        <w:rPr>
          <w:rFonts w:ascii="Sylfaen" w:hAnsi="Sylfaen"/>
        </w:rPr>
        <w:t xml:space="preserve">. This process is carried out prior to the assessor undertaking any assessment of a candidate. </w:t>
      </w:r>
    </w:p>
    <w:p w14:paraId="69ED65D5" w14:textId="77777777" w:rsidR="00D71273" w:rsidRPr="00786B92" w:rsidRDefault="00D71273" w:rsidP="00D71273">
      <w:pPr>
        <w:spacing w:before="0" w:after="0"/>
        <w:jc w:val="both"/>
        <w:rPr>
          <w:rFonts w:ascii="Sylfaen" w:hAnsi="Sylfaen"/>
        </w:rPr>
      </w:pPr>
    </w:p>
    <w:p w14:paraId="0A27336C" w14:textId="5A6C2968" w:rsidR="00844861" w:rsidRPr="00786B92" w:rsidRDefault="00844861" w:rsidP="00D71273">
      <w:pPr>
        <w:spacing w:before="0" w:after="0"/>
        <w:jc w:val="both"/>
        <w:rPr>
          <w:rFonts w:ascii="Sylfaen" w:eastAsia="Times New Roman" w:hAnsi="Sylfaen" w:cs="Times New Roman"/>
          <w:b/>
          <w:color w:val="003399"/>
        </w:rPr>
      </w:pPr>
      <w:r w:rsidRPr="00786B92">
        <w:rPr>
          <w:rFonts w:ascii="Sylfaen" w:eastAsia="Times New Roman" w:hAnsi="Sylfaen" w:cs="Times New Roman"/>
          <w:b/>
          <w:color w:val="003399"/>
        </w:rPr>
        <w:t xml:space="preserve">Checking the qualification(s) of the </w:t>
      </w:r>
      <w:r w:rsidR="006D590C" w:rsidRPr="00786B92">
        <w:rPr>
          <w:rFonts w:ascii="Sylfaen" w:eastAsia="Times New Roman" w:hAnsi="Sylfaen" w:cs="Times New Roman"/>
          <w:b/>
          <w:color w:val="003399"/>
        </w:rPr>
        <w:t>A</w:t>
      </w:r>
      <w:r w:rsidRPr="00786B92">
        <w:rPr>
          <w:rFonts w:ascii="Sylfaen" w:eastAsia="Times New Roman" w:hAnsi="Sylfaen" w:cs="Times New Roman"/>
          <w:b/>
          <w:color w:val="003399"/>
        </w:rPr>
        <w:t>ssessor(s)</w:t>
      </w:r>
      <w:bookmarkEnd w:id="49"/>
      <w:bookmarkEnd w:id="50"/>
      <w:bookmarkEnd w:id="51"/>
      <w:r w:rsidRPr="00786B92">
        <w:rPr>
          <w:rFonts w:ascii="Sylfaen" w:eastAsia="Times New Roman" w:hAnsi="Sylfaen" w:cs="Times New Roman"/>
          <w:b/>
          <w:color w:val="003399"/>
        </w:rPr>
        <w:t xml:space="preserve"> </w:t>
      </w:r>
    </w:p>
    <w:p w14:paraId="411475A4" w14:textId="332D10E4" w:rsidR="0048722D" w:rsidRPr="00786B92" w:rsidRDefault="0051063A" w:rsidP="006D590C">
      <w:pPr>
        <w:spacing w:before="0" w:after="0"/>
        <w:jc w:val="both"/>
        <w:rPr>
          <w:rFonts w:ascii="Sylfaen" w:hAnsi="Sylfaen"/>
        </w:rPr>
      </w:pPr>
      <w:bookmarkStart w:id="52" w:name="_Toc466921633"/>
      <w:bookmarkStart w:id="53" w:name="_Toc490083858"/>
      <w:bookmarkStart w:id="54" w:name="_Toc496088797"/>
      <w:r w:rsidRPr="00786B92">
        <w:rPr>
          <w:rFonts w:ascii="Sylfaen" w:hAnsi="Sylfaen"/>
        </w:rPr>
        <w:t xml:space="preserve">The </w:t>
      </w:r>
      <w:r w:rsidR="0048722D" w:rsidRPr="00786B92">
        <w:rPr>
          <w:rFonts w:ascii="Sylfaen" w:hAnsi="Sylfaen"/>
        </w:rPr>
        <w:t>SENDCo</w:t>
      </w:r>
      <w:r w:rsidRPr="00786B92">
        <w:rPr>
          <w:rFonts w:ascii="Sylfaen" w:hAnsi="Sylfaen"/>
        </w:rPr>
        <w:t xml:space="preserve"> carries out all checks in regards to qualifications held by</w:t>
      </w:r>
      <w:r w:rsidR="0048722D" w:rsidRPr="00786B92">
        <w:rPr>
          <w:rFonts w:ascii="Sylfaen" w:hAnsi="Sylfaen"/>
        </w:rPr>
        <w:t xml:space="preserve"> Assessor(s) and notifies the CFO </w:t>
      </w:r>
      <w:r w:rsidRPr="00786B92">
        <w:rPr>
          <w:rFonts w:ascii="Sylfaen" w:hAnsi="Sylfaen"/>
        </w:rPr>
        <w:t>upon appointment</w:t>
      </w:r>
      <w:r w:rsidR="0048722D" w:rsidRPr="00786B92">
        <w:rPr>
          <w:rFonts w:ascii="Sylfaen" w:hAnsi="Sylfaen"/>
        </w:rPr>
        <w:t xml:space="preserve">; any queries are raised to the </w:t>
      </w:r>
      <w:r w:rsidRPr="00786B92">
        <w:rPr>
          <w:rFonts w:ascii="Sylfaen" w:hAnsi="Sylfaen"/>
        </w:rPr>
        <w:t xml:space="preserve">Head of Centre. </w:t>
      </w:r>
      <w:r w:rsidR="0048722D" w:rsidRPr="00786B92">
        <w:rPr>
          <w:rFonts w:ascii="Sylfaen" w:hAnsi="Sylfaen"/>
        </w:rPr>
        <w:t>A copy of the certificate is supplied to the Exam Officer for her files.</w:t>
      </w:r>
    </w:p>
    <w:p w14:paraId="62EDBBCA" w14:textId="324A4EDA" w:rsidR="006D590C" w:rsidRDefault="006D590C" w:rsidP="006D590C">
      <w:pPr>
        <w:spacing w:before="0" w:after="0"/>
        <w:jc w:val="both"/>
        <w:rPr>
          <w:rFonts w:ascii="Sylfaen" w:hAnsi="Sylfaen"/>
        </w:rPr>
      </w:pPr>
    </w:p>
    <w:p w14:paraId="67BFCFA5" w14:textId="544B5335" w:rsidR="00620A6E" w:rsidRDefault="00620A6E" w:rsidP="006D590C">
      <w:pPr>
        <w:spacing w:before="0" w:after="0"/>
        <w:jc w:val="both"/>
        <w:rPr>
          <w:rFonts w:ascii="Sylfaen" w:hAnsi="Sylfaen"/>
        </w:rPr>
      </w:pPr>
    </w:p>
    <w:p w14:paraId="68C40D84" w14:textId="77777777" w:rsidR="00620A6E" w:rsidRPr="00786B92" w:rsidRDefault="00620A6E" w:rsidP="006D590C">
      <w:pPr>
        <w:spacing w:before="0" w:after="0"/>
        <w:jc w:val="both"/>
        <w:rPr>
          <w:rFonts w:ascii="Sylfaen" w:hAnsi="Sylfaen"/>
        </w:rPr>
      </w:pPr>
    </w:p>
    <w:p w14:paraId="03A9F9AD" w14:textId="4986B920" w:rsidR="00844861" w:rsidRPr="00786B92" w:rsidRDefault="006D590C" w:rsidP="006D590C">
      <w:pPr>
        <w:spacing w:before="0" w:after="0"/>
        <w:jc w:val="both"/>
        <w:rPr>
          <w:rFonts w:ascii="Sylfaen" w:eastAsia="Times New Roman" w:hAnsi="Sylfaen" w:cs="Times New Roman"/>
          <w:b/>
          <w:color w:val="003399"/>
        </w:rPr>
      </w:pPr>
      <w:bookmarkStart w:id="55" w:name="_Toc523473888"/>
      <w:bookmarkStart w:id="56" w:name="_Toc22304704"/>
      <w:bookmarkStart w:id="57" w:name="_Toc22487032"/>
      <w:bookmarkStart w:id="58" w:name="_Toc22487151"/>
      <w:bookmarkStart w:id="59" w:name="_Toc113029748"/>
      <w:r w:rsidRPr="00786B92">
        <w:rPr>
          <w:rFonts w:ascii="Sylfaen" w:eastAsia="Times New Roman" w:hAnsi="Sylfaen" w:cs="Times New Roman"/>
          <w:b/>
          <w:color w:val="003399"/>
        </w:rPr>
        <w:t>Process for the Assessment of a C</w:t>
      </w:r>
      <w:r w:rsidR="00844861" w:rsidRPr="00786B92">
        <w:rPr>
          <w:rFonts w:ascii="Sylfaen" w:eastAsia="Times New Roman" w:hAnsi="Sylfaen" w:cs="Times New Roman"/>
          <w:b/>
          <w:color w:val="003399"/>
        </w:rPr>
        <w:t xml:space="preserve">andidate’s learning difficulties by an </w:t>
      </w:r>
      <w:r w:rsidRPr="00786B92">
        <w:rPr>
          <w:rFonts w:ascii="Sylfaen" w:eastAsia="Times New Roman" w:hAnsi="Sylfaen" w:cs="Times New Roman"/>
          <w:b/>
          <w:color w:val="003399"/>
        </w:rPr>
        <w:t>A</w:t>
      </w:r>
      <w:r w:rsidR="00844861" w:rsidRPr="00786B92">
        <w:rPr>
          <w:rFonts w:ascii="Sylfaen" w:eastAsia="Times New Roman" w:hAnsi="Sylfaen" w:cs="Times New Roman"/>
          <w:b/>
          <w:color w:val="003399"/>
        </w:rPr>
        <w:t>ssessor</w:t>
      </w:r>
      <w:bookmarkEnd w:id="55"/>
      <w:bookmarkEnd w:id="56"/>
      <w:bookmarkEnd w:id="57"/>
      <w:bookmarkEnd w:id="58"/>
      <w:bookmarkEnd w:id="59"/>
      <w:r w:rsidR="00844861" w:rsidRPr="00786B92">
        <w:rPr>
          <w:rFonts w:ascii="Sylfaen" w:eastAsia="Times New Roman" w:hAnsi="Sylfaen" w:cs="Times New Roman"/>
          <w:b/>
          <w:color w:val="003399"/>
        </w:rPr>
        <w:t xml:space="preserve"> </w:t>
      </w:r>
    </w:p>
    <w:p w14:paraId="6E8EC205" w14:textId="77777777" w:rsidR="006D590C" w:rsidRPr="00786B92" w:rsidRDefault="006D590C" w:rsidP="006D590C">
      <w:pPr>
        <w:pStyle w:val="Headinglevel1"/>
        <w:spacing w:before="0" w:after="0"/>
        <w:jc w:val="both"/>
        <w:rPr>
          <w:rFonts w:ascii="Sylfaen" w:eastAsiaTheme="minorEastAsia" w:hAnsi="Sylfaen" w:cstheme="minorBidi"/>
          <w:b w:val="0"/>
          <w:color w:val="auto"/>
          <w:sz w:val="22"/>
          <w:szCs w:val="22"/>
        </w:rPr>
      </w:pPr>
      <w:bookmarkStart w:id="60" w:name="_Toc443593728"/>
      <w:bookmarkStart w:id="61" w:name="_Toc466921635"/>
      <w:bookmarkStart w:id="62" w:name="_Toc490083860"/>
      <w:bookmarkStart w:id="63" w:name="_Toc496088799"/>
      <w:bookmarkStart w:id="64" w:name="_Toc523473889"/>
      <w:bookmarkStart w:id="65" w:name="_Toc22304705"/>
      <w:bookmarkStart w:id="66" w:name="_Toc22487033"/>
      <w:bookmarkStart w:id="67" w:name="_Toc22487152"/>
      <w:bookmarkStart w:id="68" w:name="_Toc113029749"/>
      <w:bookmarkEnd w:id="52"/>
      <w:bookmarkEnd w:id="53"/>
      <w:bookmarkEnd w:id="54"/>
      <w:r w:rsidRPr="00786B92">
        <w:rPr>
          <w:rFonts w:ascii="Sylfaen" w:eastAsiaTheme="minorEastAsia" w:hAnsi="Sylfaen" w:cstheme="minorBidi"/>
          <w:b w:val="0"/>
          <w:color w:val="auto"/>
          <w:sz w:val="22"/>
          <w:szCs w:val="22"/>
        </w:rPr>
        <w:t xml:space="preserve">Part 1 of form 8 will be completed by the SENDCo prior to testing a candidate and will be accompanied by other evidence about the candidate’s normal way of working and their current EHCP. The assessor will discuss with the Exams Officer the evidence presented and whether testing of the candidate is necessary, or would offer further evidence about their needs. </w:t>
      </w:r>
    </w:p>
    <w:p w14:paraId="254E913F" w14:textId="77777777" w:rsidR="0048722D" w:rsidRPr="00786B92" w:rsidRDefault="0048722D" w:rsidP="00D71273">
      <w:pPr>
        <w:pStyle w:val="Headinglevel2"/>
        <w:spacing w:before="0" w:after="0"/>
        <w:jc w:val="both"/>
        <w:rPr>
          <w:rFonts w:ascii="Sylfaen" w:hAnsi="Sylfaen"/>
          <w:szCs w:val="22"/>
        </w:rPr>
      </w:pPr>
    </w:p>
    <w:p w14:paraId="59AA4706" w14:textId="27B9D7AF" w:rsidR="009747C7" w:rsidRPr="00786B92" w:rsidRDefault="005D0056" w:rsidP="006D590C">
      <w:pPr>
        <w:spacing w:before="0" w:after="0"/>
        <w:jc w:val="both"/>
        <w:rPr>
          <w:rFonts w:ascii="Sylfaen" w:eastAsia="Times New Roman" w:hAnsi="Sylfaen" w:cs="Times New Roman"/>
          <w:b/>
          <w:color w:val="003399"/>
        </w:rPr>
      </w:pPr>
      <w:r w:rsidRPr="00786B92">
        <w:rPr>
          <w:rFonts w:ascii="Sylfaen" w:eastAsia="Times New Roman" w:hAnsi="Sylfaen" w:cs="Times New Roman"/>
          <w:b/>
          <w:color w:val="003399"/>
        </w:rPr>
        <w:t>P</w:t>
      </w:r>
      <w:r w:rsidR="00844861" w:rsidRPr="00786B92">
        <w:rPr>
          <w:rFonts w:ascii="Sylfaen" w:eastAsia="Times New Roman" w:hAnsi="Sylfaen" w:cs="Times New Roman"/>
          <w:b/>
          <w:color w:val="003399"/>
        </w:rPr>
        <w:t xml:space="preserve">icture of </w:t>
      </w:r>
      <w:r w:rsidR="006D590C" w:rsidRPr="00786B92">
        <w:rPr>
          <w:rFonts w:ascii="Sylfaen" w:eastAsia="Times New Roman" w:hAnsi="Sylfaen" w:cs="Times New Roman"/>
          <w:b/>
          <w:color w:val="003399"/>
        </w:rPr>
        <w:t>N</w:t>
      </w:r>
      <w:r w:rsidR="00844861" w:rsidRPr="00786B92">
        <w:rPr>
          <w:rFonts w:ascii="Sylfaen" w:eastAsia="Times New Roman" w:hAnsi="Sylfaen" w:cs="Times New Roman"/>
          <w:b/>
          <w:color w:val="003399"/>
        </w:rPr>
        <w:t>eed</w:t>
      </w:r>
      <w:bookmarkEnd w:id="60"/>
      <w:bookmarkEnd w:id="61"/>
      <w:bookmarkEnd w:id="62"/>
      <w:bookmarkEnd w:id="63"/>
      <w:bookmarkEnd w:id="64"/>
      <w:bookmarkEnd w:id="65"/>
      <w:bookmarkEnd w:id="66"/>
      <w:bookmarkEnd w:id="67"/>
      <w:r w:rsidRPr="00786B92">
        <w:rPr>
          <w:rFonts w:ascii="Sylfaen" w:eastAsia="Times New Roman" w:hAnsi="Sylfaen" w:cs="Times New Roman"/>
          <w:b/>
          <w:color w:val="003399"/>
        </w:rPr>
        <w:t>/</w:t>
      </w:r>
      <w:r w:rsidR="006D590C" w:rsidRPr="00786B92">
        <w:rPr>
          <w:rFonts w:ascii="Sylfaen" w:eastAsia="Times New Roman" w:hAnsi="Sylfaen" w:cs="Times New Roman"/>
          <w:b/>
          <w:color w:val="003399"/>
        </w:rPr>
        <w:t>N</w:t>
      </w:r>
      <w:r w:rsidR="009747C7" w:rsidRPr="00786B92">
        <w:rPr>
          <w:rFonts w:ascii="Sylfaen" w:eastAsia="Times New Roman" w:hAnsi="Sylfaen" w:cs="Times New Roman"/>
          <w:b/>
          <w:color w:val="003399"/>
        </w:rPr>
        <w:t>ormal way of working</w:t>
      </w:r>
      <w:bookmarkEnd w:id="68"/>
    </w:p>
    <w:p w14:paraId="7E46D62F" w14:textId="5728BB03" w:rsidR="006D590C" w:rsidRPr="00786B92" w:rsidRDefault="006D590C" w:rsidP="00D71273">
      <w:pPr>
        <w:pStyle w:val="Headinglevel1"/>
        <w:spacing w:before="0" w:after="0"/>
        <w:jc w:val="both"/>
        <w:rPr>
          <w:rFonts w:ascii="Sylfaen" w:hAnsi="Sylfaen"/>
          <w:b w:val="0"/>
          <w:sz w:val="22"/>
          <w:szCs w:val="22"/>
        </w:rPr>
      </w:pPr>
      <w:bookmarkStart w:id="69" w:name="_Toc466921636"/>
      <w:bookmarkStart w:id="70" w:name="_Toc490083861"/>
      <w:bookmarkStart w:id="71" w:name="_Toc496088800"/>
      <w:bookmarkStart w:id="72" w:name="_Toc523473890"/>
      <w:bookmarkStart w:id="73" w:name="_Toc22304706"/>
      <w:bookmarkStart w:id="74" w:name="_Toc22487034"/>
      <w:bookmarkStart w:id="75" w:name="_Toc22487153"/>
      <w:bookmarkStart w:id="76" w:name="_Toc113029750"/>
      <w:r w:rsidRPr="00786B92">
        <w:rPr>
          <w:rFonts w:ascii="Sylfaen" w:eastAsiaTheme="minorEastAsia" w:hAnsi="Sylfaen" w:cstheme="minorBidi"/>
          <w:b w:val="0"/>
          <w:color w:val="auto"/>
          <w:sz w:val="22"/>
          <w:szCs w:val="22"/>
        </w:rPr>
        <w:t xml:space="preserve">In order for the SENDCo to be able to complete part 1 of form 8, information will be gathered from a variety of sources in addition to the current EHCP. Checklists will be completed by different teachers related to the pupil’s normal way of working and examples of instances when the candidate, for example, needed longer than others to complete written work. Pupils will also be asked to complete a checklist to gain their view about their normal way of working and complete details, over time, of when, for example, they needed extra time or help with reading. Teachers will also be given the opportunity to complete a referral form for those pupils that they feel may require access arrangements to be in place. This process also applies to any private candidates, distance learners and home educated </w:t>
      </w:r>
      <w:r w:rsidR="00620A6E">
        <w:rPr>
          <w:rFonts w:ascii="Sylfaen" w:eastAsiaTheme="minorEastAsia" w:hAnsi="Sylfaen" w:cstheme="minorBidi"/>
          <w:b w:val="0"/>
          <w:color w:val="auto"/>
          <w:sz w:val="22"/>
          <w:szCs w:val="22"/>
        </w:rPr>
        <w:t>pupils</w:t>
      </w:r>
      <w:bookmarkStart w:id="77" w:name="_GoBack"/>
      <w:bookmarkEnd w:id="77"/>
      <w:r w:rsidRPr="00786B92">
        <w:rPr>
          <w:rFonts w:ascii="Sylfaen" w:eastAsiaTheme="minorEastAsia" w:hAnsi="Sylfaen" w:cstheme="minorBidi"/>
          <w:b w:val="0"/>
          <w:color w:val="auto"/>
          <w:sz w:val="22"/>
          <w:szCs w:val="22"/>
        </w:rPr>
        <w:t xml:space="preserve"> using the centre for the purpose of exams, although the evidence of need relating to the candidate’s normal way of working would need to be sought from and discussed with those working with the pupil. If possible, those working with the pupil would also be present at the meeting prior to assessment.</w:t>
      </w:r>
    </w:p>
    <w:p w14:paraId="52793820" w14:textId="77777777" w:rsidR="006D590C" w:rsidRPr="00786B92" w:rsidRDefault="006D590C" w:rsidP="00D71273">
      <w:pPr>
        <w:pStyle w:val="Headinglevel1"/>
        <w:spacing w:before="0" w:after="0"/>
        <w:jc w:val="both"/>
        <w:rPr>
          <w:rFonts w:ascii="Sylfaen" w:hAnsi="Sylfaen"/>
          <w:sz w:val="22"/>
          <w:szCs w:val="22"/>
        </w:rPr>
      </w:pPr>
    </w:p>
    <w:p w14:paraId="29BCF61B" w14:textId="48507A86" w:rsidR="00844861" w:rsidRPr="00786B92" w:rsidRDefault="00844861" w:rsidP="00D71273">
      <w:pPr>
        <w:pStyle w:val="Headinglevel1"/>
        <w:spacing w:before="0" w:after="0"/>
        <w:jc w:val="both"/>
        <w:rPr>
          <w:rFonts w:ascii="Sylfaen" w:hAnsi="Sylfaen"/>
          <w:sz w:val="22"/>
          <w:szCs w:val="22"/>
        </w:rPr>
      </w:pPr>
      <w:r w:rsidRPr="00786B92">
        <w:rPr>
          <w:rFonts w:ascii="Sylfaen" w:hAnsi="Sylfaen"/>
          <w:sz w:val="22"/>
          <w:szCs w:val="22"/>
        </w:rPr>
        <w:t>Processing access arrangements</w:t>
      </w:r>
      <w:bookmarkEnd w:id="69"/>
      <w:bookmarkEnd w:id="70"/>
      <w:bookmarkEnd w:id="71"/>
      <w:bookmarkEnd w:id="72"/>
      <w:bookmarkEnd w:id="73"/>
      <w:bookmarkEnd w:id="74"/>
      <w:bookmarkEnd w:id="75"/>
      <w:r w:rsidR="00173F03" w:rsidRPr="00786B92">
        <w:rPr>
          <w:rFonts w:ascii="Sylfaen" w:hAnsi="Sylfaen"/>
          <w:sz w:val="22"/>
          <w:szCs w:val="22"/>
        </w:rPr>
        <w:t xml:space="preserve"> and adjustments</w:t>
      </w:r>
      <w:bookmarkEnd w:id="76"/>
    </w:p>
    <w:p w14:paraId="5A12D163" w14:textId="77777777" w:rsidR="006D590C" w:rsidRPr="00786B92" w:rsidRDefault="006D590C" w:rsidP="006D590C">
      <w:pPr>
        <w:pStyle w:val="Headinglevel2"/>
        <w:spacing w:before="0" w:after="0"/>
        <w:rPr>
          <w:rFonts w:ascii="Sylfaen" w:hAnsi="Sylfaen"/>
          <w:color w:val="auto"/>
          <w:szCs w:val="22"/>
        </w:rPr>
      </w:pPr>
      <w:bookmarkStart w:id="78" w:name="_Toc466921637"/>
      <w:bookmarkStart w:id="79" w:name="_Toc490083862"/>
      <w:bookmarkStart w:id="80" w:name="_Toc496088802"/>
      <w:bookmarkStart w:id="81" w:name="_Toc523473892"/>
      <w:bookmarkStart w:id="82" w:name="_Toc22304708"/>
      <w:bookmarkStart w:id="83" w:name="_Toc22487036"/>
      <w:bookmarkStart w:id="84" w:name="_Toc22487155"/>
      <w:bookmarkStart w:id="85" w:name="_Toc113029752"/>
      <w:bookmarkStart w:id="86" w:name="_Toc449469100"/>
      <w:bookmarkStart w:id="87" w:name="_Toc496088801"/>
      <w:bookmarkStart w:id="88" w:name="_Toc523473891"/>
      <w:bookmarkStart w:id="89" w:name="_Toc22304707"/>
      <w:bookmarkStart w:id="90" w:name="_Toc22487035"/>
      <w:bookmarkStart w:id="91" w:name="_Toc22487154"/>
      <w:bookmarkStart w:id="92" w:name="_Toc81393303"/>
      <w:r w:rsidRPr="00786B92">
        <w:rPr>
          <w:rFonts w:ascii="Sylfaen" w:hAnsi="Sylfaen"/>
          <w:color w:val="auto"/>
          <w:szCs w:val="22"/>
        </w:rPr>
        <w:t>Arrangements/adjustments requiring awarding body approval</w:t>
      </w:r>
      <w:bookmarkEnd w:id="87"/>
      <w:bookmarkEnd w:id="88"/>
      <w:bookmarkEnd w:id="89"/>
      <w:bookmarkEnd w:id="90"/>
      <w:bookmarkEnd w:id="91"/>
      <w:bookmarkEnd w:id="92"/>
    </w:p>
    <w:p w14:paraId="1EF79B02" w14:textId="6870515F" w:rsidR="006D590C" w:rsidRPr="00786B92" w:rsidRDefault="006D590C" w:rsidP="00786B92">
      <w:pPr>
        <w:pStyle w:val="NormalWeb"/>
        <w:spacing w:before="0" w:beforeAutospacing="0" w:after="0" w:afterAutospacing="0"/>
        <w:rPr>
          <w:rFonts w:ascii="Sylfaen" w:hAnsi="Sylfaen" w:cs="Tahoma"/>
          <w:b/>
          <w:bCs/>
          <w:szCs w:val="22"/>
        </w:rPr>
      </w:pPr>
      <w:r w:rsidRPr="00786B92">
        <w:rPr>
          <w:rFonts w:ascii="Sylfaen" w:hAnsi="Sylfaen"/>
          <w:iCs/>
          <w:szCs w:val="22"/>
        </w:rPr>
        <w:t>Access arrangements online</w:t>
      </w:r>
      <w:r w:rsidRPr="00786B92">
        <w:rPr>
          <w:rFonts w:ascii="Sylfaen" w:hAnsi="Sylfaen"/>
          <w:szCs w:val="22"/>
        </w:rPr>
        <w:t xml:space="preserve"> (AAO) is </w:t>
      </w:r>
      <w:r w:rsidRPr="00786B92">
        <w:rPr>
          <w:rFonts w:ascii="Sylfaen" w:hAnsi="Sylfaen" w:cs="Arial"/>
          <w:szCs w:val="22"/>
        </w:rPr>
        <w:t>a tool provided by JCQ member awarding bodies for centres to apply for required access arrangement approval for the qualifications covered by the tool</w:t>
      </w:r>
      <w:r w:rsidRPr="00786B92">
        <w:rPr>
          <w:rFonts w:ascii="Sylfaen" w:hAnsi="Sylfaen"/>
          <w:szCs w:val="22"/>
        </w:rPr>
        <w:t xml:space="preserve">. </w:t>
      </w:r>
      <w:r w:rsidRPr="00786B92">
        <w:rPr>
          <w:rFonts w:ascii="Sylfaen" w:hAnsi="Sylfaen" w:cs="Arial"/>
          <w:szCs w:val="22"/>
        </w:rPr>
        <w:t xml:space="preserve">This tool also provides the facility to order modified papers for those qualifications included. (Refer to </w:t>
      </w:r>
      <w:hyperlink r:id="rId20" w:history="1">
        <w:r w:rsidRPr="00786B92">
          <w:rPr>
            <w:rStyle w:val="Hyperlink"/>
            <w:rFonts w:ascii="Sylfaen" w:hAnsi="Sylfaen" w:cs="Arial"/>
            <w:color w:val="auto"/>
            <w:szCs w:val="22"/>
            <w:u w:val="none"/>
          </w:rPr>
          <w:t>AA</w:t>
        </w:r>
      </w:hyperlink>
      <w:r w:rsidRPr="00786B92">
        <w:rPr>
          <w:rStyle w:val="Hyperlink"/>
          <w:rFonts w:ascii="Sylfaen" w:hAnsi="Sylfaen" w:cs="Arial"/>
          <w:color w:val="auto"/>
          <w:szCs w:val="22"/>
          <w:u w:val="none"/>
        </w:rPr>
        <w:t>, chapter 8 (</w:t>
      </w:r>
      <w:r w:rsidRPr="00786B92">
        <w:rPr>
          <w:rFonts w:ascii="Sylfaen" w:hAnsi="Sylfaen" w:cs="Tahoma"/>
          <w:szCs w:val="22"/>
        </w:rPr>
        <w:t>Processing applications for access arrangements and adjustments) and chapter 6</w:t>
      </w:r>
      <w:r w:rsidRPr="00786B92">
        <w:rPr>
          <w:rFonts w:ascii="Sylfaen" w:hAnsi="Sylfaen" w:cs="Tahoma"/>
          <w:b/>
          <w:bCs/>
          <w:szCs w:val="22"/>
        </w:rPr>
        <w:t xml:space="preserve"> </w:t>
      </w:r>
      <w:r w:rsidRPr="00786B92">
        <w:rPr>
          <w:rFonts w:ascii="Sylfaen" w:hAnsi="Sylfaen" w:cs="Tahoma"/>
          <w:szCs w:val="22"/>
        </w:rPr>
        <w:t>(Modified papers).</w:t>
      </w:r>
      <w:r w:rsidRPr="00786B92">
        <w:rPr>
          <w:rFonts w:ascii="Sylfaen" w:hAnsi="Sylfaen" w:cs="Tahoma"/>
          <w:b/>
          <w:bCs/>
          <w:szCs w:val="22"/>
        </w:rPr>
        <w:t xml:space="preserve"> </w:t>
      </w:r>
    </w:p>
    <w:p w14:paraId="37EE963C" w14:textId="77777777" w:rsidR="00786B92" w:rsidRPr="00786B92" w:rsidRDefault="00786B92" w:rsidP="00786B92">
      <w:pPr>
        <w:pStyle w:val="NormalWeb"/>
        <w:spacing w:before="0" w:beforeAutospacing="0" w:after="0" w:afterAutospacing="0"/>
        <w:rPr>
          <w:rFonts w:ascii="Sylfaen" w:hAnsi="Sylfaen"/>
          <w:szCs w:val="22"/>
        </w:rPr>
      </w:pPr>
    </w:p>
    <w:p w14:paraId="27BF8DAB" w14:textId="77777777" w:rsidR="00786B92" w:rsidRPr="00786B92" w:rsidRDefault="006D590C" w:rsidP="00786B92">
      <w:pPr>
        <w:autoSpaceDE w:val="0"/>
        <w:autoSpaceDN w:val="0"/>
        <w:adjustRightInd w:val="0"/>
        <w:spacing w:before="0" w:after="0"/>
        <w:jc w:val="both"/>
        <w:rPr>
          <w:rFonts w:ascii="Sylfaen" w:hAnsi="Sylfaen"/>
        </w:rPr>
      </w:pPr>
      <w:r w:rsidRPr="00786B92">
        <w:rPr>
          <w:rFonts w:ascii="Sylfaen" w:hAnsi="Sylfaen"/>
        </w:rPr>
        <w:t xml:space="preserve">AAO is accessed within the JCQ Centre Admin Portal (CAP) by logging in to one of the awarding body secure extranet sites. A single application for approval is required for each candidate regardless of the awarding body used. </w:t>
      </w:r>
    </w:p>
    <w:p w14:paraId="221AD33E" w14:textId="5E03E04F" w:rsidR="006D590C" w:rsidRPr="00786B92" w:rsidRDefault="006D590C" w:rsidP="00786B92">
      <w:pPr>
        <w:autoSpaceDE w:val="0"/>
        <w:autoSpaceDN w:val="0"/>
        <w:adjustRightInd w:val="0"/>
        <w:spacing w:after="0"/>
        <w:jc w:val="both"/>
        <w:rPr>
          <w:rFonts w:ascii="Sylfaen" w:hAnsi="Sylfaen"/>
        </w:rPr>
      </w:pPr>
      <w:r w:rsidRPr="00786B92">
        <w:rPr>
          <w:rFonts w:ascii="Sylfaen" w:hAnsi="Sylfaen"/>
        </w:rPr>
        <w:t xml:space="preserve">It is the responsibility of the Exams Officer to apply for awarding body approval via the AAO. This will be done ideally at the start of the candidates course. </w:t>
      </w:r>
    </w:p>
    <w:p w14:paraId="7A26B6C1" w14:textId="77777777" w:rsidR="006D590C" w:rsidRPr="00786B92" w:rsidRDefault="006D590C" w:rsidP="006D590C">
      <w:pPr>
        <w:autoSpaceDE w:val="0"/>
        <w:autoSpaceDN w:val="0"/>
        <w:adjustRightInd w:val="0"/>
        <w:jc w:val="both"/>
        <w:rPr>
          <w:rFonts w:ascii="Sylfaen" w:hAnsi="Sylfaen"/>
        </w:rPr>
      </w:pPr>
      <w:r w:rsidRPr="00786B92">
        <w:rPr>
          <w:rFonts w:ascii="Sylfaen" w:hAnsi="Sylfaen"/>
        </w:rPr>
        <w:t xml:space="preserve">All evidence, including the AAO approval, will be kept on file and securely stored. Pupils signed candidate personal data consent forms will be kept with evidence for each candidate. If approval is not gained, referral will be made to the awarding body by the SENDCo and evidence provided. </w:t>
      </w:r>
    </w:p>
    <w:p w14:paraId="17909096" w14:textId="77777777" w:rsidR="006D590C" w:rsidRPr="00786B92" w:rsidRDefault="006D590C" w:rsidP="006D590C">
      <w:pPr>
        <w:pStyle w:val="Headinglevel2"/>
        <w:spacing w:before="240" w:after="0"/>
        <w:rPr>
          <w:rFonts w:ascii="Sylfaen" w:hAnsi="Sylfaen"/>
          <w:color w:val="auto"/>
          <w:szCs w:val="22"/>
        </w:rPr>
      </w:pPr>
      <w:bookmarkStart w:id="93" w:name="_Toc490083863"/>
      <w:bookmarkStart w:id="94" w:name="_Toc496088803"/>
      <w:bookmarkStart w:id="95" w:name="_Toc523473893"/>
      <w:bookmarkStart w:id="96" w:name="_Toc22304709"/>
      <w:bookmarkStart w:id="97" w:name="_Toc22487037"/>
      <w:bookmarkStart w:id="98" w:name="_Toc22487156"/>
      <w:bookmarkStart w:id="99" w:name="_Toc113029753"/>
      <w:bookmarkStart w:id="100" w:name="_Toc443593730"/>
      <w:bookmarkStart w:id="101" w:name="_Toc466921638"/>
      <w:bookmarkStart w:id="102" w:name="_Toc81393304"/>
      <w:bookmarkEnd w:id="78"/>
      <w:bookmarkEnd w:id="79"/>
      <w:bookmarkEnd w:id="80"/>
      <w:bookmarkEnd w:id="81"/>
      <w:bookmarkEnd w:id="82"/>
      <w:bookmarkEnd w:id="83"/>
      <w:bookmarkEnd w:id="84"/>
      <w:bookmarkEnd w:id="85"/>
      <w:r w:rsidRPr="00786B92">
        <w:rPr>
          <w:rFonts w:ascii="Sylfaen" w:hAnsi="Sylfaen"/>
          <w:color w:val="auto"/>
          <w:szCs w:val="22"/>
        </w:rPr>
        <w:t>Centre-delegated arrangements/adjustments</w:t>
      </w:r>
      <w:bookmarkEnd w:id="102"/>
    </w:p>
    <w:p w14:paraId="200781CB" w14:textId="20F56A66" w:rsidR="006D590C" w:rsidRDefault="006D590C" w:rsidP="00786B92">
      <w:pPr>
        <w:autoSpaceDE w:val="0"/>
        <w:autoSpaceDN w:val="0"/>
        <w:adjustRightInd w:val="0"/>
        <w:spacing w:before="0" w:after="0"/>
        <w:jc w:val="both"/>
        <w:rPr>
          <w:rFonts w:ascii="Sylfaen" w:hAnsi="Sylfaen"/>
        </w:rPr>
      </w:pPr>
      <w:r w:rsidRPr="00786B92">
        <w:rPr>
          <w:rFonts w:ascii="Sylfaen" w:hAnsi="Sylfaen"/>
        </w:rPr>
        <w:t xml:space="preserve">Appropriate evidence will be held on file for any centre-delegated access arrangements. Evidence will be securely stored. </w:t>
      </w:r>
    </w:p>
    <w:p w14:paraId="01FF9C5B" w14:textId="77777777" w:rsidR="00786B92" w:rsidRPr="00786B92" w:rsidRDefault="00786B92" w:rsidP="00786B92">
      <w:pPr>
        <w:autoSpaceDE w:val="0"/>
        <w:autoSpaceDN w:val="0"/>
        <w:adjustRightInd w:val="0"/>
        <w:spacing w:before="0" w:after="0"/>
        <w:jc w:val="both"/>
        <w:rPr>
          <w:rFonts w:ascii="Sylfaen" w:hAnsi="Sylfaen"/>
        </w:rPr>
      </w:pPr>
    </w:p>
    <w:p w14:paraId="67685FD2" w14:textId="586A7D98" w:rsidR="00844861" w:rsidRPr="00786B92" w:rsidRDefault="00844861" w:rsidP="00D71273">
      <w:pPr>
        <w:pStyle w:val="Headinglevel1"/>
        <w:spacing w:before="0" w:after="0"/>
        <w:jc w:val="both"/>
        <w:rPr>
          <w:rFonts w:ascii="Sylfaen" w:hAnsi="Sylfaen"/>
          <w:sz w:val="22"/>
          <w:szCs w:val="22"/>
        </w:rPr>
      </w:pPr>
      <w:r w:rsidRPr="00786B92">
        <w:rPr>
          <w:rFonts w:ascii="Sylfaen" w:hAnsi="Sylfaen"/>
          <w:sz w:val="22"/>
          <w:szCs w:val="22"/>
        </w:rPr>
        <w:t>Centre-specific criteria for particular arrangements</w:t>
      </w:r>
      <w:bookmarkEnd w:id="93"/>
      <w:bookmarkEnd w:id="94"/>
      <w:bookmarkEnd w:id="95"/>
      <w:bookmarkEnd w:id="96"/>
      <w:bookmarkEnd w:id="97"/>
      <w:bookmarkEnd w:id="98"/>
      <w:r w:rsidR="00173F03" w:rsidRPr="00786B92">
        <w:rPr>
          <w:rFonts w:ascii="Sylfaen" w:hAnsi="Sylfaen"/>
          <w:sz w:val="22"/>
          <w:szCs w:val="22"/>
        </w:rPr>
        <w:t>/adjustments</w:t>
      </w:r>
      <w:bookmarkEnd w:id="99"/>
    </w:p>
    <w:p w14:paraId="2A30F0B4" w14:textId="336D9671" w:rsidR="00844861" w:rsidRPr="00786B92" w:rsidRDefault="00844861" w:rsidP="00D71273">
      <w:pPr>
        <w:pStyle w:val="Headinglevel2"/>
        <w:spacing w:before="0" w:after="0"/>
        <w:jc w:val="both"/>
        <w:rPr>
          <w:rFonts w:ascii="Sylfaen" w:hAnsi="Sylfaen"/>
          <w:color w:val="auto"/>
          <w:szCs w:val="22"/>
        </w:rPr>
      </w:pPr>
      <w:bookmarkStart w:id="103" w:name="_Toc490083864"/>
      <w:bookmarkStart w:id="104" w:name="_Toc496088804"/>
      <w:bookmarkStart w:id="105" w:name="_Toc523473894"/>
      <w:bookmarkStart w:id="106" w:name="_Toc22304710"/>
      <w:bookmarkStart w:id="107" w:name="_Toc22487038"/>
      <w:bookmarkStart w:id="108" w:name="_Toc22487157"/>
      <w:bookmarkStart w:id="109" w:name="_Toc113029754"/>
      <w:r w:rsidRPr="00786B92">
        <w:rPr>
          <w:rFonts w:ascii="Sylfaen" w:hAnsi="Sylfaen"/>
          <w:color w:val="auto"/>
          <w:szCs w:val="22"/>
        </w:rPr>
        <w:t xml:space="preserve">Word </w:t>
      </w:r>
      <w:r w:rsidR="009924A0" w:rsidRPr="00786B92">
        <w:rPr>
          <w:rFonts w:ascii="Sylfaen" w:hAnsi="Sylfaen"/>
          <w:color w:val="auto"/>
          <w:szCs w:val="22"/>
        </w:rPr>
        <w:t>P</w:t>
      </w:r>
      <w:r w:rsidRPr="00786B92">
        <w:rPr>
          <w:rFonts w:ascii="Sylfaen" w:hAnsi="Sylfaen"/>
          <w:color w:val="auto"/>
          <w:szCs w:val="22"/>
        </w:rPr>
        <w:t xml:space="preserve">rocessor </w:t>
      </w:r>
      <w:r w:rsidR="009924A0" w:rsidRPr="00786B92">
        <w:rPr>
          <w:rFonts w:ascii="Sylfaen" w:hAnsi="Sylfaen"/>
          <w:color w:val="auto"/>
          <w:szCs w:val="22"/>
        </w:rPr>
        <w:t>P</w:t>
      </w:r>
      <w:r w:rsidRPr="00786B92">
        <w:rPr>
          <w:rFonts w:ascii="Sylfaen" w:hAnsi="Sylfaen"/>
          <w:color w:val="auto"/>
          <w:szCs w:val="22"/>
        </w:rPr>
        <w:t>olicy</w:t>
      </w:r>
      <w:bookmarkEnd w:id="100"/>
      <w:bookmarkEnd w:id="101"/>
      <w:bookmarkEnd w:id="103"/>
      <w:r w:rsidRPr="00786B92">
        <w:rPr>
          <w:rFonts w:ascii="Sylfaen" w:hAnsi="Sylfaen"/>
          <w:color w:val="auto"/>
          <w:szCs w:val="22"/>
        </w:rPr>
        <w:t xml:space="preserve"> (</w:t>
      </w:r>
      <w:r w:rsidR="009924A0" w:rsidRPr="00786B92">
        <w:rPr>
          <w:rFonts w:ascii="Sylfaen" w:hAnsi="Sylfaen"/>
          <w:color w:val="auto"/>
          <w:szCs w:val="22"/>
        </w:rPr>
        <w:t>E</w:t>
      </w:r>
      <w:r w:rsidRPr="00786B92">
        <w:rPr>
          <w:rFonts w:ascii="Sylfaen" w:hAnsi="Sylfaen"/>
          <w:color w:val="auto"/>
          <w:szCs w:val="22"/>
        </w:rPr>
        <w:t>xams)</w:t>
      </w:r>
      <w:bookmarkEnd w:id="104"/>
      <w:bookmarkEnd w:id="105"/>
      <w:bookmarkEnd w:id="106"/>
      <w:bookmarkEnd w:id="107"/>
      <w:bookmarkEnd w:id="108"/>
      <w:bookmarkEnd w:id="109"/>
    </w:p>
    <w:p w14:paraId="328EF512" w14:textId="75590176" w:rsidR="00844861" w:rsidRPr="00786B92" w:rsidRDefault="00844861" w:rsidP="00D71273">
      <w:pPr>
        <w:spacing w:before="0" w:after="0"/>
        <w:jc w:val="both"/>
        <w:rPr>
          <w:rFonts w:ascii="Sylfaen" w:hAnsi="Sylfaen" w:cs="Arial"/>
        </w:rPr>
      </w:pPr>
      <w:r w:rsidRPr="00786B92">
        <w:rPr>
          <w:rFonts w:ascii="Sylfaen" w:hAnsi="Sylfaen"/>
        </w:rPr>
        <w:t xml:space="preserve">An exam candidate may be approved the use of a word processor where this is appropriate to the candidate’s needs and not simply because </w:t>
      </w:r>
      <w:r w:rsidR="00D20E39" w:rsidRPr="00786B92">
        <w:rPr>
          <w:rFonts w:ascii="Sylfaen" w:hAnsi="Sylfaen"/>
        </w:rPr>
        <w:t xml:space="preserve">the candidate </w:t>
      </w:r>
      <w:r w:rsidR="00D20E39" w:rsidRPr="00786B92">
        <w:rPr>
          <w:rFonts w:ascii="Sylfaen" w:hAnsi="Sylfaen" w:cs="Arial"/>
        </w:rPr>
        <w:t>now wants to type rather than write in exams or can work faster on a keyboard, or because they use a laptop at home. The use of a word processor must reflect the candidate’s normal way of working within the centre.</w:t>
      </w:r>
    </w:p>
    <w:p w14:paraId="729A094B" w14:textId="059AE727" w:rsidR="006D590C" w:rsidRPr="00786B92" w:rsidRDefault="006D590C" w:rsidP="00D71273">
      <w:pPr>
        <w:spacing w:before="0" w:after="0"/>
        <w:jc w:val="both"/>
        <w:rPr>
          <w:rFonts w:ascii="Sylfaen" w:hAnsi="Sylfaen" w:cs="Arial"/>
        </w:rPr>
      </w:pPr>
    </w:p>
    <w:p w14:paraId="15010593" w14:textId="77777777" w:rsidR="00786B92" w:rsidRDefault="006D590C" w:rsidP="006D590C">
      <w:pPr>
        <w:pStyle w:val="Headinglevel2"/>
        <w:spacing w:before="0" w:after="0"/>
        <w:jc w:val="both"/>
        <w:rPr>
          <w:rFonts w:ascii="Sylfaen" w:hAnsi="Sylfaen" w:cs="Tahoma"/>
          <w:b w:val="0"/>
          <w:bCs/>
          <w:color w:val="404040" w:themeColor="text1" w:themeTint="BF"/>
          <w:szCs w:val="22"/>
        </w:rPr>
      </w:pPr>
      <w:r w:rsidRPr="00786B92">
        <w:rPr>
          <w:rFonts w:ascii="Sylfaen" w:hAnsi="Sylfaen" w:cs="Tahoma"/>
          <w:b w:val="0"/>
          <w:color w:val="404040" w:themeColor="text1" w:themeTint="BF"/>
          <w:szCs w:val="22"/>
        </w:rPr>
        <w:t>A member of the centre’s senior leadership team must produce a word processor policy, specific to the centre, which details the criteria the centre uses to award and allocate word processors for examinations and assessments. This policy must be available for inspection. (</w:t>
      </w:r>
      <w:hyperlink r:id="rId21" w:history="1">
        <w:r w:rsidRPr="00786B92">
          <w:rPr>
            <w:rStyle w:val="Hyperlink"/>
            <w:rFonts w:ascii="Sylfaen" w:hAnsi="Sylfaen" w:cs="Tahoma"/>
            <w:b w:val="0"/>
            <w:color w:val="0070C0"/>
            <w:szCs w:val="22"/>
            <w:u w:val="none"/>
          </w:rPr>
          <w:t>AA</w:t>
        </w:r>
      </w:hyperlink>
      <w:r w:rsidRPr="00786B92">
        <w:rPr>
          <w:rFonts w:ascii="Sylfaen" w:hAnsi="Sylfaen" w:cs="Tahoma"/>
          <w:b w:val="0"/>
          <w:color w:val="404040" w:themeColor="text1" w:themeTint="BF"/>
          <w:szCs w:val="22"/>
        </w:rPr>
        <w:t>, section 5.8)</w:t>
      </w:r>
      <w:r w:rsidRPr="00786B92">
        <w:rPr>
          <w:rFonts w:ascii="Sylfaen" w:hAnsi="Sylfaen" w:cs="Tahoma"/>
          <w:b w:val="0"/>
          <w:bCs/>
          <w:color w:val="404040" w:themeColor="text1" w:themeTint="BF"/>
          <w:szCs w:val="22"/>
        </w:rPr>
        <w:t xml:space="preserve">. </w:t>
      </w:r>
    </w:p>
    <w:p w14:paraId="0C211BB0" w14:textId="77777777" w:rsidR="00786B92" w:rsidRDefault="00786B92" w:rsidP="006D590C">
      <w:pPr>
        <w:pStyle w:val="Headinglevel2"/>
        <w:spacing w:before="0" w:after="0"/>
        <w:jc w:val="both"/>
        <w:rPr>
          <w:rFonts w:ascii="Sylfaen" w:hAnsi="Sylfaen" w:cs="Tahoma"/>
          <w:b w:val="0"/>
          <w:bCs/>
          <w:color w:val="404040" w:themeColor="text1" w:themeTint="BF"/>
          <w:szCs w:val="22"/>
        </w:rPr>
      </w:pPr>
    </w:p>
    <w:p w14:paraId="5EDEBFC6" w14:textId="06A53CFB" w:rsidR="006D590C" w:rsidRPr="00786B92" w:rsidRDefault="006D590C" w:rsidP="006D590C">
      <w:pPr>
        <w:pStyle w:val="Headinglevel2"/>
        <w:spacing w:before="0" w:after="0"/>
        <w:jc w:val="both"/>
        <w:rPr>
          <w:rFonts w:ascii="Sylfaen" w:hAnsi="Sylfaen" w:cstheme="minorHAnsi"/>
          <w:b w:val="0"/>
          <w:color w:val="auto"/>
          <w:szCs w:val="22"/>
        </w:rPr>
      </w:pPr>
      <w:r w:rsidRPr="00786B92">
        <w:rPr>
          <w:rFonts w:ascii="Sylfaen" w:hAnsi="Sylfaen" w:cs="Tahoma"/>
          <w:b w:val="0"/>
          <w:color w:val="auto"/>
          <w:szCs w:val="22"/>
        </w:rPr>
        <w:t xml:space="preserve">A hard copy of the Word Processor Policy (Exams) is </w:t>
      </w:r>
      <w:r w:rsidRPr="00786B92">
        <w:rPr>
          <w:rFonts w:ascii="Sylfaen" w:hAnsi="Sylfaen" w:cstheme="minorHAnsi"/>
          <w:b w:val="0"/>
          <w:color w:val="auto"/>
          <w:szCs w:val="22"/>
        </w:rPr>
        <w:t xml:space="preserve">located is located with the Exam Officer. It is also electronically stored on the staff shared drive &gt; policies &gt; exam policies. </w:t>
      </w:r>
    </w:p>
    <w:p w14:paraId="24DD7BCE" w14:textId="77777777" w:rsidR="006D590C" w:rsidRPr="00786B92" w:rsidRDefault="006D590C" w:rsidP="00D71273">
      <w:pPr>
        <w:spacing w:before="0" w:after="0"/>
        <w:jc w:val="both"/>
        <w:rPr>
          <w:rFonts w:ascii="Sylfaen" w:hAnsi="Sylfaen"/>
          <w:b/>
          <w:strike/>
        </w:rPr>
      </w:pPr>
    </w:p>
    <w:p w14:paraId="4797FBC7" w14:textId="1FF6796B" w:rsidR="00844861" w:rsidRPr="00786B92" w:rsidRDefault="00844861" w:rsidP="00D71273">
      <w:pPr>
        <w:pStyle w:val="Headinglevel2"/>
        <w:spacing w:before="0" w:after="0"/>
        <w:jc w:val="both"/>
        <w:rPr>
          <w:rFonts w:ascii="Sylfaen" w:eastAsiaTheme="minorEastAsia" w:hAnsi="Sylfaen" w:cstheme="minorBidi"/>
          <w:color w:val="auto"/>
          <w:szCs w:val="22"/>
        </w:rPr>
      </w:pPr>
      <w:bookmarkStart w:id="110" w:name="_Toc443593731"/>
      <w:bookmarkStart w:id="111" w:name="_Toc466921639"/>
      <w:bookmarkStart w:id="112" w:name="_Toc490083865"/>
      <w:bookmarkStart w:id="113" w:name="_Toc496088805"/>
      <w:bookmarkStart w:id="114" w:name="_Toc523473895"/>
      <w:bookmarkStart w:id="115" w:name="_Toc22304711"/>
      <w:bookmarkStart w:id="116" w:name="_Toc22487039"/>
      <w:bookmarkStart w:id="117" w:name="_Toc22487158"/>
      <w:bookmarkStart w:id="118" w:name="_Toc113029755"/>
      <w:r w:rsidRPr="00786B92">
        <w:rPr>
          <w:rFonts w:ascii="Sylfaen" w:eastAsiaTheme="minorEastAsia" w:hAnsi="Sylfaen" w:cstheme="minorBidi"/>
          <w:color w:val="auto"/>
          <w:szCs w:val="22"/>
        </w:rPr>
        <w:t xml:space="preserve">Separate </w:t>
      </w:r>
      <w:bookmarkEnd w:id="110"/>
      <w:bookmarkEnd w:id="111"/>
      <w:bookmarkEnd w:id="112"/>
      <w:bookmarkEnd w:id="113"/>
      <w:bookmarkEnd w:id="114"/>
      <w:bookmarkEnd w:id="115"/>
      <w:bookmarkEnd w:id="116"/>
      <w:bookmarkEnd w:id="117"/>
      <w:r w:rsidR="00930D38" w:rsidRPr="00786B92">
        <w:rPr>
          <w:rFonts w:ascii="Sylfaen" w:eastAsiaTheme="minorEastAsia" w:hAnsi="Sylfaen" w:cstheme="minorBidi"/>
          <w:color w:val="auto"/>
          <w:szCs w:val="22"/>
        </w:rPr>
        <w:t>Invigilation Policy</w:t>
      </w:r>
      <w:bookmarkEnd w:id="118"/>
    </w:p>
    <w:p w14:paraId="0160FAA3" w14:textId="729D1B9A" w:rsidR="00844861" w:rsidRPr="00786B92" w:rsidRDefault="00844861" w:rsidP="00D71273">
      <w:pPr>
        <w:spacing w:before="0" w:after="0"/>
        <w:jc w:val="both"/>
        <w:rPr>
          <w:rFonts w:ascii="Sylfaen" w:hAnsi="Sylfaen"/>
        </w:rPr>
      </w:pPr>
      <w:r w:rsidRPr="00786B92">
        <w:rPr>
          <w:rFonts w:ascii="Sylfaen" w:hAnsi="Sylfaen"/>
        </w:rPr>
        <w:t>A decision where an exam candidate may be approved separate invigilation within the centre will be made by the SEN</w:t>
      </w:r>
      <w:r w:rsidR="00786B92" w:rsidRPr="00786B92">
        <w:rPr>
          <w:rFonts w:ascii="Sylfaen" w:hAnsi="Sylfaen"/>
        </w:rPr>
        <w:t xml:space="preserve">DCo in conjunction with the Head of Centre. </w:t>
      </w:r>
      <w:r w:rsidRPr="00786B92">
        <w:rPr>
          <w:rFonts w:ascii="Sylfaen" w:hAnsi="Sylfaen"/>
        </w:rPr>
        <w:t>The decision will be based on</w:t>
      </w:r>
      <w:r w:rsidR="00A15719" w:rsidRPr="00786B92">
        <w:rPr>
          <w:rFonts w:ascii="Sylfaen" w:hAnsi="Sylfaen"/>
        </w:rPr>
        <w:t>:</w:t>
      </w:r>
      <w:r w:rsidRPr="00786B92">
        <w:rPr>
          <w:rFonts w:ascii="Sylfaen" w:hAnsi="Sylfaen"/>
        </w:rPr>
        <w:t xml:space="preserve"> </w:t>
      </w:r>
    </w:p>
    <w:p w14:paraId="007BE8E1" w14:textId="03849432" w:rsidR="00844861" w:rsidRPr="00786B92" w:rsidRDefault="00786B92" w:rsidP="00D71273">
      <w:pPr>
        <w:pStyle w:val="ListParagraph"/>
        <w:numPr>
          <w:ilvl w:val="0"/>
          <w:numId w:val="2"/>
        </w:numPr>
        <w:spacing w:before="0" w:after="0"/>
        <w:jc w:val="both"/>
        <w:rPr>
          <w:rFonts w:ascii="Sylfaen" w:hAnsi="Sylfaen"/>
        </w:rPr>
      </w:pPr>
      <w:r w:rsidRPr="00786B92">
        <w:rPr>
          <w:rFonts w:ascii="Sylfaen" w:hAnsi="Sylfaen"/>
        </w:rPr>
        <w:t>W</w:t>
      </w:r>
      <w:r w:rsidR="00844861" w:rsidRPr="00786B92">
        <w:rPr>
          <w:rFonts w:ascii="Sylfaen" w:hAnsi="Sylfaen"/>
        </w:rPr>
        <w:t>hether the candidate has a substantial and long term impairment which has an adverse effect</w:t>
      </w:r>
      <w:r w:rsidR="007732CF" w:rsidRPr="00786B92">
        <w:rPr>
          <w:rFonts w:ascii="Sylfaen" w:hAnsi="Sylfaen"/>
        </w:rPr>
        <w:t xml:space="preserve"> </w:t>
      </w:r>
      <w:r w:rsidR="00844861" w:rsidRPr="00786B92">
        <w:rPr>
          <w:rFonts w:ascii="Sylfaen" w:hAnsi="Sylfaen"/>
        </w:rPr>
        <w:t xml:space="preserve">and </w:t>
      </w:r>
    </w:p>
    <w:p w14:paraId="5C3C9EA8" w14:textId="6F237218" w:rsidR="00922CE8" w:rsidRPr="00786B92" w:rsidRDefault="00786B92" w:rsidP="00D71273">
      <w:pPr>
        <w:pStyle w:val="ListParagraph"/>
        <w:numPr>
          <w:ilvl w:val="0"/>
          <w:numId w:val="2"/>
        </w:numPr>
        <w:spacing w:before="0" w:after="0"/>
        <w:jc w:val="both"/>
        <w:rPr>
          <w:rFonts w:ascii="Sylfaen" w:hAnsi="Sylfaen"/>
        </w:rPr>
      </w:pPr>
      <w:r w:rsidRPr="00786B92">
        <w:rPr>
          <w:rFonts w:ascii="Sylfaen" w:hAnsi="Sylfaen"/>
        </w:rPr>
        <w:t>T</w:t>
      </w:r>
      <w:r w:rsidR="00844861" w:rsidRPr="00786B92">
        <w:rPr>
          <w:rFonts w:ascii="Sylfaen" w:hAnsi="Sylfaen"/>
        </w:rPr>
        <w:t>he candidate’s normal way of working within the centre</w:t>
      </w:r>
      <w:r w:rsidR="00FB450E" w:rsidRPr="00786B92">
        <w:rPr>
          <w:rFonts w:ascii="Sylfaen" w:hAnsi="Sylfaen"/>
        </w:rPr>
        <w:t xml:space="preserve"> </w:t>
      </w:r>
      <w:r w:rsidR="00922CE8" w:rsidRPr="00786B92">
        <w:rPr>
          <w:rFonts w:ascii="Sylfaen" w:hAnsi="Sylfaen"/>
        </w:rPr>
        <w:t>(</w:t>
      </w:r>
      <w:hyperlink r:id="rId22" w:history="1">
        <w:r w:rsidR="00844861" w:rsidRPr="00786B92">
          <w:rPr>
            <w:rFonts w:ascii="Sylfaen" w:hAnsi="Sylfaen"/>
          </w:rPr>
          <w:t>AA</w:t>
        </w:r>
      </w:hyperlink>
      <w:r w:rsidR="005A34F2" w:rsidRPr="00786B92">
        <w:rPr>
          <w:rFonts w:ascii="Sylfaen" w:hAnsi="Sylfaen"/>
        </w:rPr>
        <w:t>, section</w:t>
      </w:r>
      <w:r w:rsidR="00844861" w:rsidRPr="00786B92">
        <w:rPr>
          <w:rFonts w:ascii="Sylfaen" w:hAnsi="Sylfaen"/>
        </w:rPr>
        <w:t xml:space="preserve"> 5.16</w:t>
      </w:r>
      <w:r w:rsidR="00922CE8" w:rsidRPr="00786B92">
        <w:rPr>
          <w:rFonts w:ascii="Sylfaen" w:hAnsi="Sylfaen"/>
        </w:rPr>
        <w:t>)</w:t>
      </w:r>
    </w:p>
    <w:p w14:paraId="74399B75" w14:textId="65DEE43A" w:rsidR="006D590C" w:rsidRPr="00786B92" w:rsidRDefault="006D590C" w:rsidP="006D590C">
      <w:pPr>
        <w:spacing w:before="0" w:after="0"/>
        <w:jc w:val="both"/>
        <w:rPr>
          <w:rFonts w:ascii="Sylfaen" w:hAnsi="Sylfaen"/>
        </w:rPr>
      </w:pPr>
    </w:p>
    <w:p w14:paraId="4C556A37" w14:textId="77777777" w:rsidR="00786B92" w:rsidRPr="00786B92" w:rsidRDefault="00786B92" w:rsidP="00786B92">
      <w:pPr>
        <w:spacing w:before="0" w:after="0"/>
        <w:jc w:val="both"/>
        <w:rPr>
          <w:rFonts w:ascii="Sylfaen" w:hAnsi="Sylfaen"/>
        </w:rPr>
      </w:pPr>
      <w:r w:rsidRPr="00786B92">
        <w:rPr>
          <w:rFonts w:ascii="Sylfaen" w:hAnsi="Sylfaen"/>
        </w:rPr>
        <w:t>In the case of separate invigilation, the candidate’s disability is established within the centre (see Chapter 4, paragraph 4.1.4). For example, a long-term medical condition which has a substantial and adverse effect.</w:t>
      </w:r>
      <w:r w:rsidRPr="00786B92">
        <w:rPr>
          <w:rFonts w:ascii="Sylfaen" w:hAnsi="Sylfaen"/>
        </w:rPr>
        <w:t xml:space="preserve">  </w:t>
      </w:r>
      <w:r w:rsidRPr="00786B92">
        <w:rPr>
          <w:rFonts w:ascii="Sylfaen" w:hAnsi="Sylfaen"/>
        </w:rPr>
        <w:t>Nervousness, low level anxiety or being worried about examinations is not sufficient grounds for separate invigilation within the centre. (</w:t>
      </w:r>
      <w:hyperlink r:id="rId23" w:history="1">
        <w:r w:rsidRPr="00786B92">
          <w:rPr>
            <w:rFonts w:ascii="Sylfaen" w:hAnsi="Sylfaen"/>
          </w:rPr>
          <w:t>AA</w:t>
        </w:r>
      </w:hyperlink>
      <w:r w:rsidRPr="00786B92">
        <w:rPr>
          <w:rFonts w:ascii="Sylfaen" w:hAnsi="Sylfaen"/>
        </w:rPr>
        <w:t xml:space="preserve">, section 5.16)                                                                               </w:t>
      </w:r>
    </w:p>
    <w:p w14:paraId="6328F7A6" w14:textId="77777777" w:rsidR="00786B92" w:rsidRPr="00786B92" w:rsidRDefault="00786B92" w:rsidP="00786B92">
      <w:pPr>
        <w:spacing w:before="0"/>
        <w:jc w:val="both"/>
        <w:rPr>
          <w:rFonts w:ascii="Sylfaen" w:hAnsi="Sylfaen"/>
        </w:rPr>
      </w:pPr>
    </w:p>
    <w:p w14:paraId="4EE6ECB3" w14:textId="7962ECF2" w:rsidR="00786B92" w:rsidRPr="00786B92" w:rsidRDefault="00786B92" w:rsidP="00786B92">
      <w:pPr>
        <w:spacing w:before="0"/>
        <w:jc w:val="both"/>
        <w:rPr>
          <w:rFonts w:ascii="Sylfaen" w:hAnsi="Sylfaen"/>
        </w:rPr>
      </w:pPr>
      <w:r w:rsidRPr="00786B92">
        <w:rPr>
          <w:rFonts w:ascii="Sylfaen" w:hAnsi="Sylfaen"/>
        </w:rPr>
        <w:t xml:space="preserve">Separate invigilation must reflect the candidate’s normal and current way of working in internal school tests and mock examinations. </w:t>
      </w:r>
    </w:p>
    <w:p w14:paraId="5D5381A2" w14:textId="77777777" w:rsidR="00786B92" w:rsidRPr="00786B92" w:rsidRDefault="00786B92" w:rsidP="00786B92">
      <w:pPr>
        <w:spacing w:before="0" w:after="0"/>
        <w:jc w:val="both"/>
        <w:rPr>
          <w:rFonts w:ascii="Sylfaen" w:hAnsi="Sylfaen"/>
        </w:rPr>
      </w:pPr>
    </w:p>
    <w:bookmarkEnd w:id="32"/>
    <w:bookmarkEnd w:id="33"/>
    <w:bookmarkEnd w:id="86"/>
    <w:p w14:paraId="0FDED3E5" w14:textId="78D9160B" w:rsidR="006D590C" w:rsidRPr="00786B92" w:rsidRDefault="006D590C" w:rsidP="006D590C">
      <w:pPr>
        <w:jc w:val="both"/>
        <w:rPr>
          <w:rFonts w:ascii="Sylfaen" w:eastAsia="Times New Roman" w:hAnsi="Sylfaen" w:cs="Times New Roman"/>
          <w:b/>
          <w:color w:val="003399"/>
        </w:rPr>
      </w:pPr>
    </w:p>
    <w:sectPr w:rsidR="006D590C" w:rsidRPr="00786B92" w:rsidSect="00F642BC">
      <w:footerReference w:type="default" r:id="rId24"/>
      <w:footerReference w:type="first" r:id="rId25"/>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AA4AF1" w14:textId="77777777" w:rsidR="00874B20" w:rsidRDefault="00874B20" w:rsidP="00572EAE">
      <w:pPr>
        <w:spacing w:after="0"/>
      </w:pPr>
      <w:r>
        <w:separator/>
      </w:r>
    </w:p>
  </w:endnote>
  <w:endnote w:type="continuationSeparator" w:id="0">
    <w:p w14:paraId="61B36944" w14:textId="77777777" w:rsidR="00874B20" w:rsidRDefault="00874B20"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variable"/>
    <w:sig w:usb0="00000007" w:usb1="00000000" w:usb2="00000000" w:usb3="00000000" w:csb0="00000093"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49D30106"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620A6E">
      <w:rPr>
        <w:noProof/>
        <w:sz w:val="18"/>
        <w:szCs w:val="18"/>
      </w:rPr>
      <w:t>5</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FF00F" w14:textId="79E675A8" w:rsidR="00844861" w:rsidRPr="006F7BD4" w:rsidRDefault="006F7BD4" w:rsidP="006F7BD4">
    <w:pPr>
      <w:spacing w:before="0" w:after="0"/>
      <w:jc w:val="right"/>
      <w:rPr>
        <w:rFonts w:ascii="Avenir Book" w:hAnsi="Avenir Book"/>
        <w:sz w:val="16"/>
        <w:szCs w:val="16"/>
      </w:rPr>
    </w:pPr>
    <w:r>
      <w:rPr>
        <w:rFonts w:ascii="Avenir Book" w:hAnsi="Avenir Book"/>
        <w:b/>
        <w:noProof/>
        <w:color w:val="262626" w:themeColor="text1" w:themeTint="D9"/>
        <w:sz w:val="16"/>
        <w:szCs w:val="16"/>
      </w:rPr>
      <w:t>ACCESS ARRANGEMENTS POLICY</w:t>
    </w:r>
    <w:r w:rsidRPr="009600B5">
      <w:rPr>
        <w:rFonts w:ascii="Avenir Book" w:hAnsi="Avenir Book"/>
        <w:b/>
        <w:noProof/>
        <w:color w:val="262626" w:themeColor="text1" w:themeTint="D9"/>
        <w:sz w:val="16"/>
        <w:szCs w:val="16"/>
      </w:rPr>
      <w:t xml:space="preserve"> TEMPLATE </w:t>
    </w:r>
    <w:r w:rsidRPr="009600B5">
      <w:rPr>
        <w:rFonts w:ascii="Avenir Book" w:hAnsi="Avenir Book"/>
        <w:noProof/>
        <w:color w:val="262626" w:themeColor="text1" w:themeTint="D9"/>
        <w:sz w:val="16"/>
        <w:szCs w:val="16"/>
      </w:rPr>
      <w:t>(2022/23)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BC996A" w14:textId="77777777" w:rsidR="00874B20" w:rsidRDefault="00874B20" w:rsidP="00572EAE">
      <w:pPr>
        <w:spacing w:after="0"/>
      </w:pPr>
      <w:r>
        <w:separator/>
      </w:r>
    </w:p>
  </w:footnote>
  <w:footnote w:type="continuationSeparator" w:id="0">
    <w:p w14:paraId="5E84349D" w14:textId="77777777" w:rsidR="00874B20" w:rsidRDefault="00874B20"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F79"/>
    <w:multiLevelType w:val="hybridMultilevel"/>
    <w:tmpl w:val="43E8AEB4"/>
    <w:lvl w:ilvl="0" w:tplc="66ECC508">
      <w:numFmt w:val="bullet"/>
      <w:lvlText w:val="•"/>
      <w:lvlJc w:val="left"/>
      <w:pPr>
        <w:ind w:left="720" w:hanging="360"/>
      </w:pPr>
      <w:rPr>
        <w:rFonts w:ascii="Sylfaen" w:eastAsia="Times New Roman" w:hAnsi="Sylfae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71EC4"/>
    <w:multiLevelType w:val="multilevel"/>
    <w:tmpl w:val="D87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78033B"/>
    <w:multiLevelType w:val="hybridMultilevel"/>
    <w:tmpl w:val="614C3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5175F4"/>
    <w:multiLevelType w:val="hybridMultilevel"/>
    <w:tmpl w:val="CFDA94D6"/>
    <w:lvl w:ilvl="0" w:tplc="66ECC508">
      <w:numFmt w:val="bullet"/>
      <w:lvlText w:val="•"/>
      <w:lvlJc w:val="left"/>
      <w:pPr>
        <w:ind w:left="360" w:hanging="360"/>
      </w:pPr>
      <w:rPr>
        <w:rFonts w:ascii="Sylfaen" w:eastAsia="Times New Roman" w:hAnsi="Sylfae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7133FB"/>
    <w:multiLevelType w:val="hybridMultilevel"/>
    <w:tmpl w:val="9E2C7DE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7846716"/>
    <w:multiLevelType w:val="multilevel"/>
    <w:tmpl w:val="15DE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C92F0B"/>
    <w:multiLevelType w:val="hybridMultilevel"/>
    <w:tmpl w:val="EFECCEB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D0120"/>
    <w:multiLevelType w:val="hybridMultilevel"/>
    <w:tmpl w:val="8FDA1B50"/>
    <w:lvl w:ilvl="0" w:tplc="565EBDE0">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5137D64"/>
    <w:multiLevelType w:val="multilevel"/>
    <w:tmpl w:val="97588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9C1D46"/>
    <w:multiLevelType w:val="hybridMultilevel"/>
    <w:tmpl w:val="8E2EF890"/>
    <w:lvl w:ilvl="0" w:tplc="66ECC508">
      <w:numFmt w:val="bullet"/>
      <w:lvlText w:val="•"/>
      <w:lvlJc w:val="left"/>
      <w:pPr>
        <w:ind w:left="1080" w:hanging="360"/>
      </w:pPr>
      <w:rPr>
        <w:rFonts w:ascii="Sylfaen" w:eastAsia="Times New Roman" w:hAnsi="Sylfae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0F2C67"/>
    <w:multiLevelType w:val="multilevel"/>
    <w:tmpl w:val="614E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446AC"/>
    <w:multiLevelType w:val="hybridMultilevel"/>
    <w:tmpl w:val="CFF21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5485033"/>
    <w:multiLevelType w:val="hybridMultilevel"/>
    <w:tmpl w:val="B6765122"/>
    <w:lvl w:ilvl="0" w:tplc="0106B01A">
      <w:start w:val="1"/>
      <w:numFmt w:val="bullet"/>
      <w:lvlText w:val=""/>
      <w:lvlJc w:val="left"/>
      <w:pPr>
        <w:ind w:left="360" w:hanging="360"/>
      </w:pPr>
      <w:rPr>
        <w:rFonts w:ascii="Symbol" w:hAnsi="Symbol" w:hint="default"/>
        <w:color w:val="auto"/>
        <w:sz w:val="22"/>
        <w:szCs w:val="28"/>
      </w:rPr>
    </w:lvl>
    <w:lvl w:ilvl="1" w:tplc="536A778A">
      <w:start w:val="3"/>
      <w:numFmt w:val="bullet"/>
      <w:lvlText w:val="•"/>
      <w:lvlJc w:val="left"/>
      <w:pPr>
        <w:ind w:left="1080" w:hanging="360"/>
      </w:pPr>
      <w:rPr>
        <w:rFonts w:ascii="Rockwell" w:eastAsiaTheme="minorHAnsi" w:hAnsi="Rockwell" w:cs="Tahom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7382DF5"/>
    <w:multiLevelType w:val="hybridMultilevel"/>
    <w:tmpl w:val="BD8AE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AD40C8D"/>
    <w:multiLevelType w:val="multilevel"/>
    <w:tmpl w:val="75B0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D46124"/>
    <w:multiLevelType w:val="multilevel"/>
    <w:tmpl w:val="C8EA3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963518"/>
    <w:multiLevelType w:val="multilevel"/>
    <w:tmpl w:val="3A424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8B1668"/>
    <w:multiLevelType w:val="hybridMultilevel"/>
    <w:tmpl w:val="8A929D7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9951C3F"/>
    <w:multiLevelType w:val="multilevel"/>
    <w:tmpl w:val="94E0C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AD20DE"/>
    <w:multiLevelType w:val="multilevel"/>
    <w:tmpl w:val="2306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274419"/>
    <w:multiLevelType w:val="multilevel"/>
    <w:tmpl w:val="7F6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9001649"/>
    <w:multiLevelType w:val="multilevel"/>
    <w:tmpl w:val="48BA8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582645"/>
    <w:multiLevelType w:val="hybridMultilevel"/>
    <w:tmpl w:val="CAF6D8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EB0901"/>
    <w:multiLevelType w:val="multilevel"/>
    <w:tmpl w:val="4B4E6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F5404A"/>
    <w:multiLevelType w:val="hybridMultilevel"/>
    <w:tmpl w:val="4FCA8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B61FC4"/>
    <w:multiLevelType w:val="multilevel"/>
    <w:tmpl w:val="7904FE84"/>
    <w:lvl w:ilvl="0">
      <w:start w:val="1"/>
      <w:numFmt w:val="none"/>
      <w:lvlText w:val="%1"/>
      <w:lvlJc w:val="left"/>
      <w:pPr>
        <w:tabs>
          <w:tab w:val="num" w:pos="567"/>
        </w:tabs>
        <w:ind w:left="567" w:hanging="567"/>
      </w:pPr>
      <w:rPr>
        <w:rFonts w:ascii="Arial" w:hAnsi="Arial" w:hint="default"/>
      </w:rPr>
    </w:lvl>
    <w:lvl w:ilvl="1">
      <w:start w:val="1"/>
      <w:numFmt w:val="none"/>
      <w:suff w:val="nothing"/>
      <w:lvlText w:val="%2."/>
      <w:lvlJc w:val="left"/>
      <w:pPr>
        <w:ind w:left="567" w:hanging="567"/>
      </w:pPr>
      <w:rPr>
        <w:rFonts w:ascii="Arial" w:hAnsi="Arial" w:hint="default"/>
        <w:sz w:val="22"/>
      </w:rPr>
    </w:lvl>
    <w:lvl w:ilvl="2">
      <w:start w:val="1"/>
      <w:numFmt w:val="none"/>
      <w:lvlRestart w:val="1"/>
      <w:lvlText w:val=""/>
      <w:lvlJc w:val="left"/>
      <w:pPr>
        <w:tabs>
          <w:tab w:val="num" w:pos="851"/>
        </w:tabs>
        <w:ind w:left="851" w:hanging="851"/>
      </w:pPr>
      <w:rPr>
        <w:rFonts w:ascii="Arial" w:hAnsi="Arial" w:hint="default"/>
      </w:rPr>
    </w:lvl>
    <w:lvl w:ilvl="3">
      <w:start w:val="1"/>
      <w:numFmt w:val="none"/>
      <w:lvlRestart w:val="1"/>
      <w:lvlText w:val="%4"/>
      <w:lvlJc w:val="left"/>
      <w:pPr>
        <w:tabs>
          <w:tab w:val="num" w:pos="964"/>
        </w:tabs>
        <w:ind w:left="964" w:hanging="397"/>
      </w:pPr>
      <w:rPr>
        <w:rFonts w:ascii="Arial" w:hAnsi="Arial" w:hint="default"/>
      </w:rPr>
    </w:lvl>
    <w:lvl w:ilvl="4">
      <w:start w:val="1"/>
      <w:numFmt w:val="none"/>
      <w:pStyle w:val="paragraph"/>
      <w:suff w:val="nothing"/>
      <w:lvlText w:val="%1"/>
      <w:lvlJc w:val="left"/>
      <w:pPr>
        <w:ind w:left="0" w:firstLine="0"/>
      </w:pPr>
      <w:rPr>
        <w:rFonts w:hint="default"/>
      </w:rPr>
    </w:lvl>
    <w:lvl w:ilvl="5">
      <w:start w:val="1"/>
      <w:numFmt w:val="lowerLetter"/>
      <w:pStyle w:val="letteredList"/>
      <w:lvlText w:val="%1%6."/>
      <w:lvlJc w:val="left"/>
      <w:pPr>
        <w:tabs>
          <w:tab w:val="num" w:pos="567"/>
        </w:tabs>
        <w:ind w:left="567" w:hanging="567"/>
      </w:pPr>
      <w:rPr>
        <w:rFonts w:ascii="Arial" w:hAnsi="Arial" w:hint="default"/>
        <w:sz w:val="22"/>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4320"/>
        </w:tabs>
        <w:ind w:left="3600" w:hanging="1440"/>
      </w:pPr>
      <w:rPr>
        <w:rFonts w:hint="default"/>
      </w:rPr>
    </w:lvl>
  </w:abstractNum>
  <w:abstractNum w:abstractNumId="26" w15:restartNumberingAfterBreak="0">
    <w:nsid w:val="67F15CA9"/>
    <w:multiLevelType w:val="multilevel"/>
    <w:tmpl w:val="012E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176616"/>
    <w:multiLevelType w:val="multilevel"/>
    <w:tmpl w:val="5D723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6D15E2"/>
    <w:multiLevelType w:val="hybridMultilevel"/>
    <w:tmpl w:val="4B821C1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C2247F"/>
    <w:multiLevelType w:val="multilevel"/>
    <w:tmpl w:val="AA9CA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912910"/>
    <w:multiLevelType w:val="multilevel"/>
    <w:tmpl w:val="E6BAF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AE65C0"/>
    <w:multiLevelType w:val="multilevel"/>
    <w:tmpl w:val="A57C0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F9C4F15"/>
    <w:multiLevelType w:val="multilevel"/>
    <w:tmpl w:val="624A3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2"/>
  </w:num>
  <w:num w:numId="3">
    <w:abstractNumId w:val="28"/>
  </w:num>
  <w:num w:numId="4">
    <w:abstractNumId w:val="5"/>
  </w:num>
  <w:num w:numId="5">
    <w:abstractNumId w:val="15"/>
  </w:num>
  <w:num w:numId="6">
    <w:abstractNumId w:val="20"/>
  </w:num>
  <w:num w:numId="7">
    <w:abstractNumId w:val="1"/>
  </w:num>
  <w:num w:numId="8">
    <w:abstractNumId w:val="8"/>
  </w:num>
  <w:num w:numId="9">
    <w:abstractNumId w:val="10"/>
  </w:num>
  <w:num w:numId="10">
    <w:abstractNumId w:val="26"/>
  </w:num>
  <w:num w:numId="11">
    <w:abstractNumId w:val="18"/>
  </w:num>
  <w:num w:numId="12">
    <w:abstractNumId w:val="14"/>
  </w:num>
  <w:num w:numId="13">
    <w:abstractNumId w:val="30"/>
  </w:num>
  <w:num w:numId="14">
    <w:abstractNumId w:val="19"/>
  </w:num>
  <w:num w:numId="15">
    <w:abstractNumId w:val="23"/>
  </w:num>
  <w:num w:numId="16">
    <w:abstractNumId w:val="29"/>
  </w:num>
  <w:num w:numId="17">
    <w:abstractNumId w:val="27"/>
  </w:num>
  <w:num w:numId="18">
    <w:abstractNumId w:val="21"/>
  </w:num>
  <w:num w:numId="19">
    <w:abstractNumId w:val="31"/>
  </w:num>
  <w:num w:numId="20">
    <w:abstractNumId w:val="17"/>
  </w:num>
  <w:num w:numId="21">
    <w:abstractNumId w:val="4"/>
  </w:num>
  <w:num w:numId="22">
    <w:abstractNumId w:val="7"/>
  </w:num>
  <w:num w:numId="23">
    <w:abstractNumId w:val="22"/>
  </w:num>
  <w:num w:numId="24">
    <w:abstractNumId w:val="16"/>
  </w:num>
  <w:num w:numId="25">
    <w:abstractNumId w:val="32"/>
  </w:num>
  <w:num w:numId="26">
    <w:abstractNumId w:val="25"/>
  </w:num>
  <w:num w:numId="27">
    <w:abstractNumId w:val="24"/>
  </w:num>
  <w:num w:numId="28">
    <w:abstractNumId w:val="0"/>
  </w:num>
  <w:num w:numId="29">
    <w:abstractNumId w:val="9"/>
  </w:num>
  <w:num w:numId="30">
    <w:abstractNumId w:val="3"/>
  </w:num>
  <w:num w:numId="31">
    <w:abstractNumId w:val="2"/>
  </w:num>
  <w:num w:numId="32">
    <w:abstractNumId w:val="13"/>
  </w:num>
  <w:num w:numId="33">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FC"/>
    <w:rsid w:val="0001520F"/>
    <w:rsid w:val="00017704"/>
    <w:rsid w:val="0001770D"/>
    <w:rsid w:val="00017DE5"/>
    <w:rsid w:val="000201A0"/>
    <w:rsid w:val="00021ACB"/>
    <w:rsid w:val="00023F6A"/>
    <w:rsid w:val="00025DAF"/>
    <w:rsid w:val="000265A8"/>
    <w:rsid w:val="0003095E"/>
    <w:rsid w:val="00033626"/>
    <w:rsid w:val="00036206"/>
    <w:rsid w:val="0003799B"/>
    <w:rsid w:val="00037C72"/>
    <w:rsid w:val="000409C9"/>
    <w:rsid w:val="000412D6"/>
    <w:rsid w:val="000441B5"/>
    <w:rsid w:val="000445FF"/>
    <w:rsid w:val="00044888"/>
    <w:rsid w:val="00045172"/>
    <w:rsid w:val="0004576F"/>
    <w:rsid w:val="000459D4"/>
    <w:rsid w:val="00045EAC"/>
    <w:rsid w:val="00047D77"/>
    <w:rsid w:val="000509F3"/>
    <w:rsid w:val="00051F51"/>
    <w:rsid w:val="0005591C"/>
    <w:rsid w:val="0005650A"/>
    <w:rsid w:val="00056ECD"/>
    <w:rsid w:val="000609D4"/>
    <w:rsid w:val="00062988"/>
    <w:rsid w:val="00063959"/>
    <w:rsid w:val="00064F02"/>
    <w:rsid w:val="000709D9"/>
    <w:rsid w:val="00072C6F"/>
    <w:rsid w:val="00074A36"/>
    <w:rsid w:val="000750AD"/>
    <w:rsid w:val="000800DE"/>
    <w:rsid w:val="00080423"/>
    <w:rsid w:val="000831C0"/>
    <w:rsid w:val="00086102"/>
    <w:rsid w:val="000875A7"/>
    <w:rsid w:val="0009252E"/>
    <w:rsid w:val="00097CF9"/>
    <w:rsid w:val="000A1629"/>
    <w:rsid w:val="000A5B8B"/>
    <w:rsid w:val="000A6652"/>
    <w:rsid w:val="000B0453"/>
    <w:rsid w:val="000B29C9"/>
    <w:rsid w:val="000B5B53"/>
    <w:rsid w:val="000C118C"/>
    <w:rsid w:val="000C2701"/>
    <w:rsid w:val="000D12FC"/>
    <w:rsid w:val="000D1B7A"/>
    <w:rsid w:val="000D1C29"/>
    <w:rsid w:val="000D60C0"/>
    <w:rsid w:val="000E1253"/>
    <w:rsid w:val="000E27A5"/>
    <w:rsid w:val="000F34BD"/>
    <w:rsid w:val="000F5577"/>
    <w:rsid w:val="00100BEF"/>
    <w:rsid w:val="00105BF2"/>
    <w:rsid w:val="00107872"/>
    <w:rsid w:val="00111617"/>
    <w:rsid w:val="001127C7"/>
    <w:rsid w:val="00113BA4"/>
    <w:rsid w:val="00115458"/>
    <w:rsid w:val="00120DC6"/>
    <w:rsid w:val="00121EF4"/>
    <w:rsid w:val="001308B6"/>
    <w:rsid w:val="00133C23"/>
    <w:rsid w:val="00134173"/>
    <w:rsid w:val="001345C8"/>
    <w:rsid w:val="00136AC1"/>
    <w:rsid w:val="00142BCC"/>
    <w:rsid w:val="00143D8E"/>
    <w:rsid w:val="0014735C"/>
    <w:rsid w:val="001533D9"/>
    <w:rsid w:val="001549A9"/>
    <w:rsid w:val="001551B3"/>
    <w:rsid w:val="00155584"/>
    <w:rsid w:val="00161BEB"/>
    <w:rsid w:val="001673CF"/>
    <w:rsid w:val="00172CF5"/>
    <w:rsid w:val="00173F03"/>
    <w:rsid w:val="0017460C"/>
    <w:rsid w:val="0017477E"/>
    <w:rsid w:val="001767B5"/>
    <w:rsid w:val="00177D3E"/>
    <w:rsid w:val="00183428"/>
    <w:rsid w:val="0018449D"/>
    <w:rsid w:val="001844B9"/>
    <w:rsid w:val="00185617"/>
    <w:rsid w:val="00192C81"/>
    <w:rsid w:val="00192E8A"/>
    <w:rsid w:val="00195D3B"/>
    <w:rsid w:val="00196924"/>
    <w:rsid w:val="00196B3E"/>
    <w:rsid w:val="00196C60"/>
    <w:rsid w:val="001973EE"/>
    <w:rsid w:val="001A02DD"/>
    <w:rsid w:val="001A0CA6"/>
    <w:rsid w:val="001A18D1"/>
    <w:rsid w:val="001A24D6"/>
    <w:rsid w:val="001A57D2"/>
    <w:rsid w:val="001B0600"/>
    <w:rsid w:val="001B3F57"/>
    <w:rsid w:val="001B42C8"/>
    <w:rsid w:val="001B51BC"/>
    <w:rsid w:val="001B635E"/>
    <w:rsid w:val="001C12A2"/>
    <w:rsid w:val="001C3535"/>
    <w:rsid w:val="001D189E"/>
    <w:rsid w:val="001D489A"/>
    <w:rsid w:val="001E172B"/>
    <w:rsid w:val="001F0350"/>
    <w:rsid w:val="001F0C28"/>
    <w:rsid w:val="001F313F"/>
    <w:rsid w:val="001F4DD8"/>
    <w:rsid w:val="001F59AD"/>
    <w:rsid w:val="001F7769"/>
    <w:rsid w:val="00200ABE"/>
    <w:rsid w:val="00202AFA"/>
    <w:rsid w:val="0020477E"/>
    <w:rsid w:val="00212AD1"/>
    <w:rsid w:val="0021365B"/>
    <w:rsid w:val="00214318"/>
    <w:rsid w:val="00214342"/>
    <w:rsid w:val="00214CB1"/>
    <w:rsid w:val="002161E9"/>
    <w:rsid w:val="002176FD"/>
    <w:rsid w:val="00227CC0"/>
    <w:rsid w:val="002301A0"/>
    <w:rsid w:val="002322D1"/>
    <w:rsid w:val="00233410"/>
    <w:rsid w:val="0023628E"/>
    <w:rsid w:val="002416DB"/>
    <w:rsid w:val="002417F2"/>
    <w:rsid w:val="00244FC1"/>
    <w:rsid w:val="00247D1F"/>
    <w:rsid w:val="00250816"/>
    <w:rsid w:val="0025088B"/>
    <w:rsid w:val="002522E9"/>
    <w:rsid w:val="0025243A"/>
    <w:rsid w:val="00254B95"/>
    <w:rsid w:val="00254B9A"/>
    <w:rsid w:val="00254D39"/>
    <w:rsid w:val="0025563D"/>
    <w:rsid w:val="0026067D"/>
    <w:rsid w:val="002608AB"/>
    <w:rsid w:val="00265862"/>
    <w:rsid w:val="002660C5"/>
    <w:rsid w:val="0026639D"/>
    <w:rsid w:val="00267849"/>
    <w:rsid w:val="002733F6"/>
    <w:rsid w:val="002742C9"/>
    <w:rsid w:val="002747EB"/>
    <w:rsid w:val="00283160"/>
    <w:rsid w:val="00283445"/>
    <w:rsid w:val="002837F1"/>
    <w:rsid w:val="002923DF"/>
    <w:rsid w:val="00294309"/>
    <w:rsid w:val="002978B9"/>
    <w:rsid w:val="00297C0F"/>
    <w:rsid w:val="002A1C13"/>
    <w:rsid w:val="002A2546"/>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7BE"/>
    <w:rsid w:val="002E1E80"/>
    <w:rsid w:val="002E233C"/>
    <w:rsid w:val="002E53FB"/>
    <w:rsid w:val="002E61A2"/>
    <w:rsid w:val="002F16B9"/>
    <w:rsid w:val="002F1E6E"/>
    <w:rsid w:val="002F26D1"/>
    <w:rsid w:val="002F329D"/>
    <w:rsid w:val="002F729A"/>
    <w:rsid w:val="0030181C"/>
    <w:rsid w:val="00307AC1"/>
    <w:rsid w:val="0031083C"/>
    <w:rsid w:val="00312CBF"/>
    <w:rsid w:val="00315991"/>
    <w:rsid w:val="0032363C"/>
    <w:rsid w:val="003243FE"/>
    <w:rsid w:val="0033123E"/>
    <w:rsid w:val="00331254"/>
    <w:rsid w:val="00331564"/>
    <w:rsid w:val="003365DA"/>
    <w:rsid w:val="00336B42"/>
    <w:rsid w:val="00337BC6"/>
    <w:rsid w:val="003433A9"/>
    <w:rsid w:val="00343A24"/>
    <w:rsid w:val="00345C58"/>
    <w:rsid w:val="00345E7A"/>
    <w:rsid w:val="003471BA"/>
    <w:rsid w:val="00354F5C"/>
    <w:rsid w:val="00355B6B"/>
    <w:rsid w:val="00356850"/>
    <w:rsid w:val="00356A3E"/>
    <w:rsid w:val="00361088"/>
    <w:rsid w:val="003667B9"/>
    <w:rsid w:val="00367E55"/>
    <w:rsid w:val="00374D29"/>
    <w:rsid w:val="00375CE7"/>
    <w:rsid w:val="003760E1"/>
    <w:rsid w:val="00381559"/>
    <w:rsid w:val="00384237"/>
    <w:rsid w:val="00384314"/>
    <w:rsid w:val="00392945"/>
    <w:rsid w:val="00393116"/>
    <w:rsid w:val="003946AA"/>
    <w:rsid w:val="0039606C"/>
    <w:rsid w:val="003A128A"/>
    <w:rsid w:val="003A183A"/>
    <w:rsid w:val="003A413B"/>
    <w:rsid w:val="003A55AC"/>
    <w:rsid w:val="003A62A8"/>
    <w:rsid w:val="003B049E"/>
    <w:rsid w:val="003B4F45"/>
    <w:rsid w:val="003C1B1D"/>
    <w:rsid w:val="003C1E94"/>
    <w:rsid w:val="003D4CFA"/>
    <w:rsid w:val="003D6C61"/>
    <w:rsid w:val="003D732C"/>
    <w:rsid w:val="003D78DD"/>
    <w:rsid w:val="003E1B12"/>
    <w:rsid w:val="003E2B20"/>
    <w:rsid w:val="003E5898"/>
    <w:rsid w:val="003E5BF3"/>
    <w:rsid w:val="003F08A6"/>
    <w:rsid w:val="003F54FB"/>
    <w:rsid w:val="003F5E28"/>
    <w:rsid w:val="003F66FE"/>
    <w:rsid w:val="0041491B"/>
    <w:rsid w:val="004172F8"/>
    <w:rsid w:val="00420DEB"/>
    <w:rsid w:val="0042123F"/>
    <w:rsid w:val="0042211B"/>
    <w:rsid w:val="004250C5"/>
    <w:rsid w:val="004253DB"/>
    <w:rsid w:val="004314F6"/>
    <w:rsid w:val="00432C92"/>
    <w:rsid w:val="00434F9F"/>
    <w:rsid w:val="004374FD"/>
    <w:rsid w:val="00437F62"/>
    <w:rsid w:val="0044218B"/>
    <w:rsid w:val="00444C24"/>
    <w:rsid w:val="0045187F"/>
    <w:rsid w:val="0045394B"/>
    <w:rsid w:val="00453A8A"/>
    <w:rsid w:val="00454711"/>
    <w:rsid w:val="00456C91"/>
    <w:rsid w:val="00462EFB"/>
    <w:rsid w:val="004738FF"/>
    <w:rsid w:val="00473D52"/>
    <w:rsid w:val="00484DD9"/>
    <w:rsid w:val="0048722D"/>
    <w:rsid w:val="00494A0C"/>
    <w:rsid w:val="00495501"/>
    <w:rsid w:val="004A2E20"/>
    <w:rsid w:val="004A4C84"/>
    <w:rsid w:val="004A5171"/>
    <w:rsid w:val="004A64CC"/>
    <w:rsid w:val="004A6AFB"/>
    <w:rsid w:val="004B1115"/>
    <w:rsid w:val="004B35E1"/>
    <w:rsid w:val="004B4DA2"/>
    <w:rsid w:val="004B5B29"/>
    <w:rsid w:val="004C3462"/>
    <w:rsid w:val="004C6683"/>
    <w:rsid w:val="004C7154"/>
    <w:rsid w:val="004D2901"/>
    <w:rsid w:val="004D57C7"/>
    <w:rsid w:val="004D602B"/>
    <w:rsid w:val="004D7615"/>
    <w:rsid w:val="004D7F6F"/>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063A"/>
    <w:rsid w:val="0051144C"/>
    <w:rsid w:val="0051267C"/>
    <w:rsid w:val="005130B2"/>
    <w:rsid w:val="005139CA"/>
    <w:rsid w:val="005154E3"/>
    <w:rsid w:val="00521B57"/>
    <w:rsid w:val="005225B9"/>
    <w:rsid w:val="00526E54"/>
    <w:rsid w:val="00531D66"/>
    <w:rsid w:val="00534606"/>
    <w:rsid w:val="00546F61"/>
    <w:rsid w:val="00546F70"/>
    <w:rsid w:val="0055097B"/>
    <w:rsid w:val="00550A49"/>
    <w:rsid w:val="0055163A"/>
    <w:rsid w:val="0055531D"/>
    <w:rsid w:val="00556982"/>
    <w:rsid w:val="0056001C"/>
    <w:rsid w:val="00560310"/>
    <w:rsid w:val="00563708"/>
    <w:rsid w:val="0057135F"/>
    <w:rsid w:val="00572EAE"/>
    <w:rsid w:val="0057436B"/>
    <w:rsid w:val="00575B68"/>
    <w:rsid w:val="00576B69"/>
    <w:rsid w:val="00582D3B"/>
    <w:rsid w:val="0058335C"/>
    <w:rsid w:val="00584370"/>
    <w:rsid w:val="00584552"/>
    <w:rsid w:val="00587DFA"/>
    <w:rsid w:val="0059053A"/>
    <w:rsid w:val="00593102"/>
    <w:rsid w:val="00593745"/>
    <w:rsid w:val="005946D0"/>
    <w:rsid w:val="00595C4E"/>
    <w:rsid w:val="005A05DA"/>
    <w:rsid w:val="005A1F33"/>
    <w:rsid w:val="005A34F2"/>
    <w:rsid w:val="005B0758"/>
    <w:rsid w:val="005B411E"/>
    <w:rsid w:val="005C2C9F"/>
    <w:rsid w:val="005C50FE"/>
    <w:rsid w:val="005D0056"/>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339"/>
    <w:rsid w:val="00614A9A"/>
    <w:rsid w:val="00615715"/>
    <w:rsid w:val="0061657F"/>
    <w:rsid w:val="00620A6E"/>
    <w:rsid w:val="0062205F"/>
    <w:rsid w:val="00622AB1"/>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5583E"/>
    <w:rsid w:val="00662A0F"/>
    <w:rsid w:val="00662D48"/>
    <w:rsid w:val="00664ECA"/>
    <w:rsid w:val="006653DA"/>
    <w:rsid w:val="006657BB"/>
    <w:rsid w:val="00670941"/>
    <w:rsid w:val="00674055"/>
    <w:rsid w:val="00680AD4"/>
    <w:rsid w:val="006819FD"/>
    <w:rsid w:val="00681B77"/>
    <w:rsid w:val="00682C3D"/>
    <w:rsid w:val="0068481A"/>
    <w:rsid w:val="00694417"/>
    <w:rsid w:val="006968D9"/>
    <w:rsid w:val="0069792B"/>
    <w:rsid w:val="0069794D"/>
    <w:rsid w:val="006A01D8"/>
    <w:rsid w:val="006A3D22"/>
    <w:rsid w:val="006B14BE"/>
    <w:rsid w:val="006B2307"/>
    <w:rsid w:val="006C4285"/>
    <w:rsid w:val="006C5808"/>
    <w:rsid w:val="006C6C4A"/>
    <w:rsid w:val="006D128C"/>
    <w:rsid w:val="006D281C"/>
    <w:rsid w:val="006D562D"/>
    <w:rsid w:val="006D57D5"/>
    <w:rsid w:val="006D590C"/>
    <w:rsid w:val="006D78ED"/>
    <w:rsid w:val="006E2F0D"/>
    <w:rsid w:val="006E48DE"/>
    <w:rsid w:val="006E619E"/>
    <w:rsid w:val="006F2CCE"/>
    <w:rsid w:val="006F403C"/>
    <w:rsid w:val="006F4870"/>
    <w:rsid w:val="006F6831"/>
    <w:rsid w:val="006F6A41"/>
    <w:rsid w:val="006F791F"/>
    <w:rsid w:val="006F7BD4"/>
    <w:rsid w:val="007009B9"/>
    <w:rsid w:val="00701AFA"/>
    <w:rsid w:val="00701CBE"/>
    <w:rsid w:val="00704378"/>
    <w:rsid w:val="00707BF7"/>
    <w:rsid w:val="007138D5"/>
    <w:rsid w:val="007149C2"/>
    <w:rsid w:val="00721AE5"/>
    <w:rsid w:val="00727EC1"/>
    <w:rsid w:val="00731803"/>
    <w:rsid w:val="0073293D"/>
    <w:rsid w:val="007360FA"/>
    <w:rsid w:val="007362F4"/>
    <w:rsid w:val="0073749E"/>
    <w:rsid w:val="007376B2"/>
    <w:rsid w:val="00740A1A"/>
    <w:rsid w:val="00740E30"/>
    <w:rsid w:val="00740F4E"/>
    <w:rsid w:val="00742511"/>
    <w:rsid w:val="00742656"/>
    <w:rsid w:val="00742793"/>
    <w:rsid w:val="007469CC"/>
    <w:rsid w:val="00750CD6"/>
    <w:rsid w:val="00751D49"/>
    <w:rsid w:val="00761A14"/>
    <w:rsid w:val="007624B1"/>
    <w:rsid w:val="007628E6"/>
    <w:rsid w:val="00762B68"/>
    <w:rsid w:val="00767A91"/>
    <w:rsid w:val="007732CF"/>
    <w:rsid w:val="00773F86"/>
    <w:rsid w:val="007753C0"/>
    <w:rsid w:val="00775ECC"/>
    <w:rsid w:val="007824AD"/>
    <w:rsid w:val="00786569"/>
    <w:rsid w:val="00786B92"/>
    <w:rsid w:val="0079528C"/>
    <w:rsid w:val="00795C58"/>
    <w:rsid w:val="007960EF"/>
    <w:rsid w:val="00796C9C"/>
    <w:rsid w:val="007976BE"/>
    <w:rsid w:val="007A4032"/>
    <w:rsid w:val="007A6098"/>
    <w:rsid w:val="007A6180"/>
    <w:rsid w:val="007A64E4"/>
    <w:rsid w:val="007A7BA8"/>
    <w:rsid w:val="007B6699"/>
    <w:rsid w:val="007B7176"/>
    <w:rsid w:val="007C2873"/>
    <w:rsid w:val="007C50C2"/>
    <w:rsid w:val="007D2E79"/>
    <w:rsid w:val="007D5FE6"/>
    <w:rsid w:val="007D6735"/>
    <w:rsid w:val="007D69DE"/>
    <w:rsid w:val="007E371C"/>
    <w:rsid w:val="007E57A3"/>
    <w:rsid w:val="007E5845"/>
    <w:rsid w:val="007F0F3B"/>
    <w:rsid w:val="007F2720"/>
    <w:rsid w:val="007F54A9"/>
    <w:rsid w:val="007F5F63"/>
    <w:rsid w:val="007F699A"/>
    <w:rsid w:val="00802AFC"/>
    <w:rsid w:val="00802B6C"/>
    <w:rsid w:val="0080429F"/>
    <w:rsid w:val="008073C0"/>
    <w:rsid w:val="00812487"/>
    <w:rsid w:val="00816759"/>
    <w:rsid w:val="00821ACB"/>
    <w:rsid w:val="00821D2B"/>
    <w:rsid w:val="00822C32"/>
    <w:rsid w:val="00823872"/>
    <w:rsid w:val="00825CE7"/>
    <w:rsid w:val="00827295"/>
    <w:rsid w:val="00830017"/>
    <w:rsid w:val="00831112"/>
    <w:rsid w:val="00832892"/>
    <w:rsid w:val="00832A57"/>
    <w:rsid w:val="00832FEA"/>
    <w:rsid w:val="00834274"/>
    <w:rsid w:val="00835836"/>
    <w:rsid w:val="0084094A"/>
    <w:rsid w:val="00844861"/>
    <w:rsid w:val="008458D8"/>
    <w:rsid w:val="0084623C"/>
    <w:rsid w:val="008478AB"/>
    <w:rsid w:val="00851803"/>
    <w:rsid w:val="00852366"/>
    <w:rsid w:val="0085438F"/>
    <w:rsid w:val="00860AF6"/>
    <w:rsid w:val="008621C8"/>
    <w:rsid w:val="00863A43"/>
    <w:rsid w:val="00866226"/>
    <w:rsid w:val="00866DFB"/>
    <w:rsid w:val="00867251"/>
    <w:rsid w:val="00871068"/>
    <w:rsid w:val="0087178A"/>
    <w:rsid w:val="00872712"/>
    <w:rsid w:val="00873B8D"/>
    <w:rsid w:val="00874B20"/>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09B1"/>
    <w:rsid w:val="008C149D"/>
    <w:rsid w:val="008C442D"/>
    <w:rsid w:val="008D0AB5"/>
    <w:rsid w:val="008D0EB0"/>
    <w:rsid w:val="008D2129"/>
    <w:rsid w:val="008D21F5"/>
    <w:rsid w:val="008D3F1D"/>
    <w:rsid w:val="008D5903"/>
    <w:rsid w:val="008E4101"/>
    <w:rsid w:val="008E4A9B"/>
    <w:rsid w:val="008E5C3C"/>
    <w:rsid w:val="008F5767"/>
    <w:rsid w:val="00900505"/>
    <w:rsid w:val="00903444"/>
    <w:rsid w:val="00911510"/>
    <w:rsid w:val="00912735"/>
    <w:rsid w:val="0091365A"/>
    <w:rsid w:val="00915540"/>
    <w:rsid w:val="00921C06"/>
    <w:rsid w:val="009223EE"/>
    <w:rsid w:val="0092256A"/>
    <w:rsid w:val="00922CE8"/>
    <w:rsid w:val="00930702"/>
    <w:rsid w:val="00930D38"/>
    <w:rsid w:val="009344CA"/>
    <w:rsid w:val="009362F6"/>
    <w:rsid w:val="009372CC"/>
    <w:rsid w:val="00937C37"/>
    <w:rsid w:val="00937C73"/>
    <w:rsid w:val="009405D5"/>
    <w:rsid w:val="00941340"/>
    <w:rsid w:val="00941B6F"/>
    <w:rsid w:val="00954387"/>
    <w:rsid w:val="00954D08"/>
    <w:rsid w:val="00957564"/>
    <w:rsid w:val="009576A1"/>
    <w:rsid w:val="0096006E"/>
    <w:rsid w:val="00960671"/>
    <w:rsid w:val="00961EA6"/>
    <w:rsid w:val="009644DF"/>
    <w:rsid w:val="00972530"/>
    <w:rsid w:val="00972787"/>
    <w:rsid w:val="009739C1"/>
    <w:rsid w:val="009747C7"/>
    <w:rsid w:val="00974962"/>
    <w:rsid w:val="00980A01"/>
    <w:rsid w:val="00981424"/>
    <w:rsid w:val="009832F0"/>
    <w:rsid w:val="009835D2"/>
    <w:rsid w:val="009853DC"/>
    <w:rsid w:val="00986277"/>
    <w:rsid w:val="009924A0"/>
    <w:rsid w:val="00993918"/>
    <w:rsid w:val="00994D9A"/>
    <w:rsid w:val="009959DE"/>
    <w:rsid w:val="00996F0E"/>
    <w:rsid w:val="009A1353"/>
    <w:rsid w:val="009A4270"/>
    <w:rsid w:val="009A4FD2"/>
    <w:rsid w:val="009B0929"/>
    <w:rsid w:val="009B5963"/>
    <w:rsid w:val="009C3112"/>
    <w:rsid w:val="009C4413"/>
    <w:rsid w:val="009C7245"/>
    <w:rsid w:val="009C73CD"/>
    <w:rsid w:val="009C7C8D"/>
    <w:rsid w:val="009D3D37"/>
    <w:rsid w:val="009E050C"/>
    <w:rsid w:val="009E17EB"/>
    <w:rsid w:val="009E5842"/>
    <w:rsid w:val="009E683B"/>
    <w:rsid w:val="009F0C0D"/>
    <w:rsid w:val="009F0FFB"/>
    <w:rsid w:val="009F17AE"/>
    <w:rsid w:val="009F3E7A"/>
    <w:rsid w:val="009F530D"/>
    <w:rsid w:val="009F5781"/>
    <w:rsid w:val="009F605A"/>
    <w:rsid w:val="00A045AE"/>
    <w:rsid w:val="00A05772"/>
    <w:rsid w:val="00A15719"/>
    <w:rsid w:val="00A159A6"/>
    <w:rsid w:val="00A200BD"/>
    <w:rsid w:val="00A23D3B"/>
    <w:rsid w:val="00A25051"/>
    <w:rsid w:val="00A26B89"/>
    <w:rsid w:val="00A27B0E"/>
    <w:rsid w:val="00A35C57"/>
    <w:rsid w:val="00A4455C"/>
    <w:rsid w:val="00A45FED"/>
    <w:rsid w:val="00A4607E"/>
    <w:rsid w:val="00A4728A"/>
    <w:rsid w:val="00A50F70"/>
    <w:rsid w:val="00A510DE"/>
    <w:rsid w:val="00A5332D"/>
    <w:rsid w:val="00A575E0"/>
    <w:rsid w:val="00A60C3A"/>
    <w:rsid w:val="00A61A5B"/>
    <w:rsid w:val="00A654B7"/>
    <w:rsid w:val="00A65586"/>
    <w:rsid w:val="00A666BC"/>
    <w:rsid w:val="00A679FD"/>
    <w:rsid w:val="00A729AA"/>
    <w:rsid w:val="00A82497"/>
    <w:rsid w:val="00A829DF"/>
    <w:rsid w:val="00A8342B"/>
    <w:rsid w:val="00A848AE"/>
    <w:rsid w:val="00A90A2F"/>
    <w:rsid w:val="00A92FC4"/>
    <w:rsid w:val="00A93234"/>
    <w:rsid w:val="00A95CA5"/>
    <w:rsid w:val="00A96202"/>
    <w:rsid w:val="00AB2591"/>
    <w:rsid w:val="00AB25BC"/>
    <w:rsid w:val="00AB3768"/>
    <w:rsid w:val="00AB4558"/>
    <w:rsid w:val="00AC350B"/>
    <w:rsid w:val="00AC3C06"/>
    <w:rsid w:val="00AC5A86"/>
    <w:rsid w:val="00AD18C0"/>
    <w:rsid w:val="00AD314A"/>
    <w:rsid w:val="00AD5A0E"/>
    <w:rsid w:val="00AD6585"/>
    <w:rsid w:val="00AE072B"/>
    <w:rsid w:val="00AE0847"/>
    <w:rsid w:val="00AE4B04"/>
    <w:rsid w:val="00AE563D"/>
    <w:rsid w:val="00AE5CDB"/>
    <w:rsid w:val="00AE6589"/>
    <w:rsid w:val="00AE6C34"/>
    <w:rsid w:val="00AF65D5"/>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1EEE"/>
    <w:rsid w:val="00B3289C"/>
    <w:rsid w:val="00B33F99"/>
    <w:rsid w:val="00B34D3B"/>
    <w:rsid w:val="00B45B65"/>
    <w:rsid w:val="00B519F1"/>
    <w:rsid w:val="00B56240"/>
    <w:rsid w:val="00B57186"/>
    <w:rsid w:val="00B575D2"/>
    <w:rsid w:val="00B57CB5"/>
    <w:rsid w:val="00B57F8F"/>
    <w:rsid w:val="00B626C8"/>
    <w:rsid w:val="00B677C4"/>
    <w:rsid w:val="00B76344"/>
    <w:rsid w:val="00B7754D"/>
    <w:rsid w:val="00B86830"/>
    <w:rsid w:val="00B86AAF"/>
    <w:rsid w:val="00B90A50"/>
    <w:rsid w:val="00B90BF2"/>
    <w:rsid w:val="00B95A16"/>
    <w:rsid w:val="00B96DC9"/>
    <w:rsid w:val="00BA2E4A"/>
    <w:rsid w:val="00BA39A7"/>
    <w:rsid w:val="00BA5FF8"/>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4369"/>
    <w:rsid w:val="00BD565A"/>
    <w:rsid w:val="00BD76D4"/>
    <w:rsid w:val="00BE09E2"/>
    <w:rsid w:val="00BE1447"/>
    <w:rsid w:val="00BE156E"/>
    <w:rsid w:val="00BE1AA9"/>
    <w:rsid w:val="00BE2D32"/>
    <w:rsid w:val="00BE3C75"/>
    <w:rsid w:val="00BE3DC7"/>
    <w:rsid w:val="00BE46EC"/>
    <w:rsid w:val="00BE7AFA"/>
    <w:rsid w:val="00BF0EF1"/>
    <w:rsid w:val="00BF3CF6"/>
    <w:rsid w:val="00BF770C"/>
    <w:rsid w:val="00C01ACC"/>
    <w:rsid w:val="00C03944"/>
    <w:rsid w:val="00C04C77"/>
    <w:rsid w:val="00C16897"/>
    <w:rsid w:val="00C16F1C"/>
    <w:rsid w:val="00C1748B"/>
    <w:rsid w:val="00C1752A"/>
    <w:rsid w:val="00C17E86"/>
    <w:rsid w:val="00C2050C"/>
    <w:rsid w:val="00C232AA"/>
    <w:rsid w:val="00C25531"/>
    <w:rsid w:val="00C2724F"/>
    <w:rsid w:val="00C274EA"/>
    <w:rsid w:val="00C31FBE"/>
    <w:rsid w:val="00C33F31"/>
    <w:rsid w:val="00C4018B"/>
    <w:rsid w:val="00C43B88"/>
    <w:rsid w:val="00C45ED1"/>
    <w:rsid w:val="00C47906"/>
    <w:rsid w:val="00C5105D"/>
    <w:rsid w:val="00C51785"/>
    <w:rsid w:val="00C62C00"/>
    <w:rsid w:val="00C728F2"/>
    <w:rsid w:val="00C75192"/>
    <w:rsid w:val="00C76227"/>
    <w:rsid w:val="00C764C9"/>
    <w:rsid w:val="00C7657F"/>
    <w:rsid w:val="00C818C7"/>
    <w:rsid w:val="00C8290A"/>
    <w:rsid w:val="00C85C47"/>
    <w:rsid w:val="00C87BA4"/>
    <w:rsid w:val="00C90208"/>
    <w:rsid w:val="00C92866"/>
    <w:rsid w:val="00C93416"/>
    <w:rsid w:val="00C94BC4"/>
    <w:rsid w:val="00C97509"/>
    <w:rsid w:val="00CA1F82"/>
    <w:rsid w:val="00CA5218"/>
    <w:rsid w:val="00CB15CC"/>
    <w:rsid w:val="00CB253B"/>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049CA"/>
    <w:rsid w:val="00D11059"/>
    <w:rsid w:val="00D13584"/>
    <w:rsid w:val="00D13CD8"/>
    <w:rsid w:val="00D146F1"/>
    <w:rsid w:val="00D15D3A"/>
    <w:rsid w:val="00D164C9"/>
    <w:rsid w:val="00D20E39"/>
    <w:rsid w:val="00D21971"/>
    <w:rsid w:val="00D22695"/>
    <w:rsid w:val="00D23EF7"/>
    <w:rsid w:val="00D241E5"/>
    <w:rsid w:val="00D25080"/>
    <w:rsid w:val="00D2716B"/>
    <w:rsid w:val="00D278AC"/>
    <w:rsid w:val="00D322D7"/>
    <w:rsid w:val="00D32BEF"/>
    <w:rsid w:val="00D35D65"/>
    <w:rsid w:val="00D361ED"/>
    <w:rsid w:val="00D41EB1"/>
    <w:rsid w:val="00D43251"/>
    <w:rsid w:val="00D46078"/>
    <w:rsid w:val="00D46407"/>
    <w:rsid w:val="00D47FDF"/>
    <w:rsid w:val="00D50C6B"/>
    <w:rsid w:val="00D663E0"/>
    <w:rsid w:val="00D71273"/>
    <w:rsid w:val="00D73CED"/>
    <w:rsid w:val="00D74EF3"/>
    <w:rsid w:val="00D753BF"/>
    <w:rsid w:val="00D75A65"/>
    <w:rsid w:val="00D761BB"/>
    <w:rsid w:val="00D77C5A"/>
    <w:rsid w:val="00D804C5"/>
    <w:rsid w:val="00D8214A"/>
    <w:rsid w:val="00D82187"/>
    <w:rsid w:val="00D86621"/>
    <w:rsid w:val="00D8706D"/>
    <w:rsid w:val="00D87938"/>
    <w:rsid w:val="00D90D7E"/>
    <w:rsid w:val="00D90F46"/>
    <w:rsid w:val="00D91349"/>
    <w:rsid w:val="00D945F9"/>
    <w:rsid w:val="00D96B44"/>
    <w:rsid w:val="00DA50BF"/>
    <w:rsid w:val="00DA52B5"/>
    <w:rsid w:val="00DB14EB"/>
    <w:rsid w:val="00DB3A38"/>
    <w:rsid w:val="00DB51F8"/>
    <w:rsid w:val="00DC0499"/>
    <w:rsid w:val="00DC2057"/>
    <w:rsid w:val="00DD4683"/>
    <w:rsid w:val="00DD5196"/>
    <w:rsid w:val="00DD57C6"/>
    <w:rsid w:val="00DE33B1"/>
    <w:rsid w:val="00DE35D5"/>
    <w:rsid w:val="00DE4E3F"/>
    <w:rsid w:val="00DE6F0B"/>
    <w:rsid w:val="00DF295A"/>
    <w:rsid w:val="00DF3D8C"/>
    <w:rsid w:val="00DF4FA2"/>
    <w:rsid w:val="00E00F3C"/>
    <w:rsid w:val="00E01BB3"/>
    <w:rsid w:val="00E03931"/>
    <w:rsid w:val="00E053A1"/>
    <w:rsid w:val="00E05D89"/>
    <w:rsid w:val="00E06C4F"/>
    <w:rsid w:val="00E10E9D"/>
    <w:rsid w:val="00E13604"/>
    <w:rsid w:val="00E172B8"/>
    <w:rsid w:val="00E1788A"/>
    <w:rsid w:val="00E20F93"/>
    <w:rsid w:val="00E227AA"/>
    <w:rsid w:val="00E27453"/>
    <w:rsid w:val="00E30B9D"/>
    <w:rsid w:val="00E322DE"/>
    <w:rsid w:val="00E34361"/>
    <w:rsid w:val="00E348CE"/>
    <w:rsid w:val="00E3551D"/>
    <w:rsid w:val="00E36298"/>
    <w:rsid w:val="00E37FE2"/>
    <w:rsid w:val="00E43690"/>
    <w:rsid w:val="00E44F7F"/>
    <w:rsid w:val="00E4518B"/>
    <w:rsid w:val="00E45212"/>
    <w:rsid w:val="00E4768A"/>
    <w:rsid w:val="00E506C1"/>
    <w:rsid w:val="00E523C3"/>
    <w:rsid w:val="00E5549E"/>
    <w:rsid w:val="00E57AAA"/>
    <w:rsid w:val="00E63330"/>
    <w:rsid w:val="00E65AC7"/>
    <w:rsid w:val="00E66BC4"/>
    <w:rsid w:val="00E705D0"/>
    <w:rsid w:val="00E717F2"/>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4FB"/>
    <w:rsid w:val="00EB5E2C"/>
    <w:rsid w:val="00EB778A"/>
    <w:rsid w:val="00EC168A"/>
    <w:rsid w:val="00EC269E"/>
    <w:rsid w:val="00EC4A87"/>
    <w:rsid w:val="00EC64D4"/>
    <w:rsid w:val="00EC6A2A"/>
    <w:rsid w:val="00EC6A31"/>
    <w:rsid w:val="00ED01D9"/>
    <w:rsid w:val="00ED0856"/>
    <w:rsid w:val="00ED0D30"/>
    <w:rsid w:val="00EE03E1"/>
    <w:rsid w:val="00EE1A3E"/>
    <w:rsid w:val="00EE495F"/>
    <w:rsid w:val="00EE4E47"/>
    <w:rsid w:val="00EE6700"/>
    <w:rsid w:val="00EE6EAE"/>
    <w:rsid w:val="00EE7787"/>
    <w:rsid w:val="00EE7B7E"/>
    <w:rsid w:val="00EF0C58"/>
    <w:rsid w:val="00EF17E3"/>
    <w:rsid w:val="00EF216B"/>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BF5"/>
    <w:rsid w:val="00F33875"/>
    <w:rsid w:val="00F33935"/>
    <w:rsid w:val="00F34D2E"/>
    <w:rsid w:val="00F37AB4"/>
    <w:rsid w:val="00F41526"/>
    <w:rsid w:val="00F42687"/>
    <w:rsid w:val="00F45090"/>
    <w:rsid w:val="00F548D0"/>
    <w:rsid w:val="00F55347"/>
    <w:rsid w:val="00F56EA2"/>
    <w:rsid w:val="00F614AD"/>
    <w:rsid w:val="00F642BC"/>
    <w:rsid w:val="00F70428"/>
    <w:rsid w:val="00F707C4"/>
    <w:rsid w:val="00F70A9E"/>
    <w:rsid w:val="00F70E3F"/>
    <w:rsid w:val="00F715C8"/>
    <w:rsid w:val="00F71CF4"/>
    <w:rsid w:val="00F75E16"/>
    <w:rsid w:val="00F77444"/>
    <w:rsid w:val="00F77818"/>
    <w:rsid w:val="00F812A0"/>
    <w:rsid w:val="00F838AA"/>
    <w:rsid w:val="00F83942"/>
    <w:rsid w:val="00F85BC7"/>
    <w:rsid w:val="00F8638C"/>
    <w:rsid w:val="00F907DC"/>
    <w:rsid w:val="00F916A7"/>
    <w:rsid w:val="00F92944"/>
    <w:rsid w:val="00F9597B"/>
    <w:rsid w:val="00F969A4"/>
    <w:rsid w:val="00F96AB9"/>
    <w:rsid w:val="00FA0E2E"/>
    <w:rsid w:val="00FA1695"/>
    <w:rsid w:val="00FA2EDC"/>
    <w:rsid w:val="00FA3757"/>
    <w:rsid w:val="00FA597D"/>
    <w:rsid w:val="00FA6EED"/>
    <w:rsid w:val="00FA7613"/>
    <w:rsid w:val="00FB0338"/>
    <w:rsid w:val="00FB2127"/>
    <w:rsid w:val="00FB2694"/>
    <w:rsid w:val="00FB37F9"/>
    <w:rsid w:val="00FB450E"/>
    <w:rsid w:val="00FB4F1E"/>
    <w:rsid w:val="00FB5AA5"/>
    <w:rsid w:val="00FC3066"/>
    <w:rsid w:val="00FC3417"/>
    <w:rsid w:val="00FC39F6"/>
    <w:rsid w:val="00FC3E7C"/>
    <w:rsid w:val="00FC43D9"/>
    <w:rsid w:val="00FC4E84"/>
    <w:rsid w:val="00FD2BB4"/>
    <w:rsid w:val="00FD36DF"/>
    <w:rsid w:val="00FD39A4"/>
    <w:rsid w:val="00FD5F6A"/>
    <w:rsid w:val="00FE07AB"/>
    <w:rsid w:val="00FF1AD2"/>
    <w:rsid w:val="00FF3526"/>
    <w:rsid w:val="00FF45C4"/>
    <w:rsid w:val="00FF53AD"/>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8AB"/>
    <w:pPr>
      <w:spacing w:before="120" w:after="120" w:line="240" w:lineRule="auto"/>
    </w:pPr>
    <w:rPr>
      <w:rFonts w:ascii="Tahoma" w:hAnsi="Tahoma"/>
    </w:rPr>
  </w:style>
  <w:style w:type="paragraph" w:styleId="Heading1">
    <w:name w:val="heading 1"/>
    <w:basedOn w:val="Normal"/>
    <w:next w:val="Normal"/>
    <w:link w:val="Heading1Char"/>
    <w:qFormat/>
    <w:rsid w:val="002608AB"/>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2608AB"/>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2608AB"/>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2608AB"/>
    <w:rPr>
      <w:rFonts w:ascii="Tahoma" w:eastAsia="Times New Roman" w:hAnsi="Tahoma"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icon">
    <w:name w:val="icon"/>
    <w:basedOn w:val="DefaultParagraphFont"/>
    <w:rsid w:val="00D049CA"/>
  </w:style>
  <w:style w:type="paragraph" w:customStyle="1" w:styleId="TextBox">
    <w:name w:val="TextBox"/>
    <w:basedOn w:val="Normal"/>
    <w:link w:val="TextBoxChar"/>
    <w:qFormat/>
    <w:rsid w:val="00434F9F"/>
    <w:pPr>
      <w:spacing w:before="0" w:line="288" w:lineRule="auto"/>
    </w:pPr>
    <w:rPr>
      <w:rFonts w:eastAsia="Times New Roman" w:cs="Times New Roman"/>
      <w:b/>
      <w:sz w:val="24"/>
      <w:szCs w:val="24"/>
    </w:rPr>
  </w:style>
  <w:style w:type="character" w:customStyle="1" w:styleId="TextBoxChar">
    <w:name w:val="TextBox Char"/>
    <w:link w:val="TextBox"/>
    <w:rsid w:val="00434F9F"/>
    <w:rPr>
      <w:rFonts w:ascii="Tahoma" w:eastAsia="Times New Roman" w:hAnsi="Tahoma" w:cs="Times New Roman"/>
      <w:b/>
      <w:sz w:val="24"/>
      <w:szCs w:val="24"/>
    </w:rPr>
  </w:style>
  <w:style w:type="character" w:customStyle="1" w:styleId="ListParagraphChar">
    <w:name w:val="List Paragraph Char"/>
    <w:basedOn w:val="DefaultParagraphFont"/>
    <w:link w:val="ListParagraph"/>
    <w:uiPriority w:val="34"/>
    <w:locked/>
    <w:rsid w:val="00C16F1C"/>
    <w:rPr>
      <w:rFonts w:ascii="Tahoma" w:hAnsi="Tahoma"/>
    </w:rPr>
  </w:style>
  <w:style w:type="paragraph" w:customStyle="1" w:styleId="letteredList">
    <w:name w:val="letteredList"/>
    <w:basedOn w:val="Normal"/>
    <w:rsid w:val="00367E55"/>
    <w:pPr>
      <w:numPr>
        <w:ilvl w:val="5"/>
        <w:numId w:val="26"/>
      </w:numPr>
      <w:spacing w:before="0" w:after="60"/>
    </w:pPr>
    <w:rPr>
      <w:rFonts w:ascii="Arial" w:eastAsia="Times New Roman" w:hAnsi="Arial" w:cs="Times New Roman"/>
      <w:sz w:val="24"/>
      <w:szCs w:val="24"/>
      <w:lang w:eastAsia="en-US"/>
    </w:rPr>
  </w:style>
  <w:style w:type="paragraph" w:customStyle="1" w:styleId="paragraph">
    <w:name w:val="paragraph"/>
    <w:basedOn w:val="Normal"/>
    <w:rsid w:val="00367E55"/>
    <w:pPr>
      <w:numPr>
        <w:ilvl w:val="4"/>
        <w:numId w:val="26"/>
      </w:numPr>
      <w:spacing w:before="0"/>
      <w:outlineLvl w:val="4"/>
    </w:pPr>
    <w:rPr>
      <w:rFonts w:ascii="Arial" w:eastAsia="Times New Roman" w:hAnsi="Arial" w:cs="Times New Roman"/>
      <w:sz w:val="24"/>
      <w:szCs w:val="24"/>
      <w:lang w:eastAsia="en-US"/>
    </w:rPr>
  </w:style>
  <w:style w:type="character" w:customStyle="1" w:styleId="UnresolvedMention">
    <w:name w:val="Unresolved Mention"/>
    <w:basedOn w:val="DefaultParagraphFont"/>
    <w:uiPriority w:val="99"/>
    <w:semiHidden/>
    <w:unhideWhenUsed/>
    <w:rsid w:val="00960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98919">
      <w:bodyDiv w:val="1"/>
      <w:marLeft w:val="0"/>
      <w:marRight w:val="0"/>
      <w:marTop w:val="0"/>
      <w:marBottom w:val="0"/>
      <w:divBdr>
        <w:top w:val="none" w:sz="0" w:space="0" w:color="auto"/>
        <w:left w:val="none" w:sz="0" w:space="0" w:color="auto"/>
        <w:bottom w:val="none" w:sz="0" w:space="0" w:color="auto"/>
        <w:right w:val="none" w:sz="0" w:space="0" w:color="auto"/>
      </w:divBdr>
      <w:divsChild>
        <w:div w:id="1699507895">
          <w:marLeft w:val="0"/>
          <w:marRight w:val="0"/>
          <w:marTop w:val="0"/>
          <w:marBottom w:val="0"/>
          <w:divBdr>
            <w:top w:val="none" w:sz="0" w:space="0" w:color="auto"/>
            <w:left w:val="none" w:sz="0" w:space="0" w:color="auto"/>
            <w:bottom w:val="none" w:sz="0" w:space="0" w:color="auto"/>
            <w:right w:val="none" w:sz="0" w:space="0" w:color="auto"/>
          </w:divBdr>
          <w:divsChild>
            <w:div w:id="1239823593">
              <w:marLeft w:val="0"/>
              <w:marRight w:val="0"/>
              <w:marTop w:val="0"/>
              <w:marBottom w:val="0"/>
              <w:divBdr>
                <w:top w:val="none" w:sz="0" w:space="0" w:color="auto"/>
                <w:left w:val="none" w:sz="0" w:space="0" w:color="auto"/>
                <w:bottom w:val="none" w:sz="0" w:space="0" w:color="auto"/>
                <w:right w:val="none" w:sz="0" w:space="0" w:color="auto"/>
              </w:divBdr>
              <w:divsChild>
                <w:div w:id="43937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02519">
      <w:bodyDiv w:val="1"/>
      <w:marLeft w:val="0"/>
      <w:marRight w:val="0"/>
      <w:marTop w:val="0"/>
      <w:marBottom w:val="0"/>
      <w:divBdr>
        <w:top w:val="none" w:sz="0" w:space="0" w:color="auto"/>
        <w:left w:val="none" w:sz="0" w:space="0" w:color="auto"/>
        <w:bottom w:val="none" w:sz="0" w:space="0" w:color="auto"/>
        <w:right w:val="none" w:sz="0" w:space="0" w:color="auto"/>
      </w:divBdr>
      <w:divsChild>
        <w:div w:id="2059741811">
          <w:marLeft w:val="0"/>
          <w:marRight w:val="0"/>
          <w:marTop w:val="0"/>
          <w:marBottom w:val="0"/>
          <w:divBdr>
            <w:top w:val="none" w:sz="0" w:space="0" w:color="auto"/>
            <w:left w:val="none" w:sz="0" w:space="0" w:color="auto"/>
            <w:bottom w:val="none" w:sz="0" w:space="0" w:color="auto"/>
            <w:right w:val="none" w:sz="0" w:space="0" w:color="auto"/>
          </w:divBdr>
          <w:divsChild>
            <w:div w:id="2049990279">
              <w:marLeft w:val="0"/>
              <w:marRight w:val="0"/>
              <w:marTop w:val="0"/>
              <w:marBottom w:val="0"/>
              <w:divBdr>
                <w:top w:val="none" w:sz="0" w:space="0" w:color="auto"/>
                <w:left w:val="none" w:sz="0" w:space="0" w:color="auto"/>
                <w:bottom w:val="none" w:sz="0" w:space="0" w:color="auto"/>
                <w:right w:val="none" w:sz="0" w:space="0" w:color="auto"/>
              </w:divBdr>
              <w:divsChild>
                <w:div w:id="45510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0171">
      <w:bodyDiv w:val="1"/>
      <w:marLeft w:val="0"/>
      <w:marRight w:val="0"/>
      <w:marTop w:val="0"/>
      <w:marBottom w:val="0"/>
      <w:divBdr>
        <w:top w:val="none" w:sz="0" w:space="0" w:color="auto"/>
        <w:left w:val="none" w:sz="0" w:space="0" w:color="auto"/>
        <w:bottom w:val="none" w:sz="0" w:space="0" w:color="auto"/>
        <w:right w:val="none" w:sz="0" w:space="0" w:color="auto"/>
      </w:divBdr>
      <w:divsChild>
        <w:div w:id="1668828289">
          <w:marLeft w:val="0"/>
          <w:marRight w:val="0"/>
          <w:marTop w:val="0"/>
          <w:marBottom w:val="0"/>
          <w:divBdr>
            <w:top w:val="none" w:sz="0" w:space="0" w:color="auto"/>
            <w:left w:val="none" w:sz="0" w:space="0" w:color="auto"/>
            <w:bottom w:val="none" w:sz="0" w:space="0" w:color="auto"/>
            <w:right w:val="none" w:sz="0" w:space="0" w:color="auto"/>
          </w:divBdr>
          <w:divsChild>
            <w:div w:id="2019190650">
              <w:marLeft w:val="0"/>
              <w:marRight w:val="0"/>
              <w:marTop w:val="0"/>
              <w:marBottom w:val="0"/>
              <w:divBdr>
                <w:top w:val="none" w:sz="0" w:space="0" w:color="auto"/>
                <w:left w:val="none" w:sz="0" w:space="0" w:color="auto"/>
                <w:bottom w:val="none" w:sz="0" w:space="0" w:color="auto"/>
                <w:right w:val="none" w:sz="0" w:space="0" w:color="auto"/>
              </w:divBdr>
              <w:divsChild>
                <w:div w:id="535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4412">
      <w:bodyDiv w:val="1"/>
      <w:marLeft w:val="0"/>
      <w:marRight w:val="0"/>
      <w:marTop w:val="0"/>
      <w:marBottom w:val="0"/>
      <w:divBdr>
        <w:top w:val="none" w:sz="0" w:space="0" w:color="auto"/>
        <w:left w:val="none" w:sz="0" w:space="0" w:color="auto"/>
        <w:bottom w:val="none" w:sz="0" w:space="0" w:color="auto"/>
        <w:right w:val="none" w:sz="0" w:space="0" w:color="auto"/>
      </w:divBdr>
      <w:divsChild>
        <w:div w:id="955059805">
          <w:marLeft w:val="0"/>
          <w:marRight w:val="0"/>
          <w:marTop w:val="0"/>
          <w:marBottom w:val="0"/>
          <w:divBdr>
            <w:top w:val="none" w:sz="0" w:space="0" w:color="auto"/>
            <w:left w:val="none" w:sz="0" w:space="0" w:color="auto"/>
            <w:bottom w:val="none" w:sz="0" w:space="0" w:color="auto"/>
            <w:right w:val="none" w:sz="0" w:space="0" w:color="auto"/>
          </w:divBdr>
          <w:divsChild>
            <w:div w:id="1113479826">
              <w:marLeft w:val="0"/>
              <w:marRight w:val="0"/>
              <w:marTop w:val="0"/>
              <w:marBottom w:val="0"/>
              <w:divBdr>
                <w:top w:val="none" w:sz="0" w:space="0" w:color="auto"/>
                <w:left w:val="none" w:sz="0" w:space="0" w:color="auto"/>
                <w:bottom w:val="none" w:sz="0" w:space="0" w:color="auto"/>
                <w:right w:val="none" w:sz="0" w:space="0" w:color="auto"/>
              </w:divBdr>
              <w:divsChild>
                <w:div w:id="7111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446280">
      <w:bodyDiv w:val="1"/>
      <w:marLeft w:val="0"/>
      <w:marRight w:val="0"/>
      <w:marTop w:val="0"/>
      <w:marBottom w:val="0"/>
      <w:divBdr>
        <w:top w:val="none" w:sz="0" w:space="0" w:color="auto"/>
        <w:left w:val="none" w:sz="0" w:space="0" w:color="auto"/>
        <w:bottom w:val="none" w:sz="0" w:space="0" w:color="auto"/>
        <w:right w:val="none" w:sz="0" w:space="0" w:color="auto"/>
      </w:divBdr>
      <w:divsChild>
        <w:div w:id="687878094">
          <w:marLeft w:val="0"/>
          <w:marRight w:val="0"/>
          <w:marTop w:val="0"/>
          <w:marBottom w:val="0"/>
          <w:divBdr>
            <w:top w:val="none" w:sz="0" w:space="0" w:color="auto"/>
            <w:left w:val="none" w:sz="0" w:space="0" w:color="auto"/>
            <w:bottom w:val="none" w:sz="0" w:space="0" w:color="auto"/>
            <w:right w:val="none" w:sz="0" w:space="0" w:color="auto"/>
          </w:divBdr>
          <w:divsChild>
            <w:div w:id="1116176104">
              <w:marLeft w:val="0"/>
              <w:marRight w:val="0"/>
              <w:marTop w:val="0"/>
              <w:marBottom w:val="0"/>
              <w:divBdr>
                <w:top w:val="none" w:sz="0" w:space="0" w:color="auto"/>
                <w:left w:val="none" w:sz="0" w:space="0" w:color="auto"/>
                <w:bottom w:val="none" w:sz="0" w:space="0" w:color="auto"/>
                <w:right w:val="none" w:sz="0" w:space="0" w:color="auto"/>
              </w:divBdr>
              <w:divsChild>
                <w:div w:id="118000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14856">
      <w:bodyDiv w:val="1"/>
      <w:marLeft w:val="0"/>
      <w:marRight w:val="0"/>
      <w:marTop w:val="0"/>
      <w:marBottom w:val="0"/>
      <w:divBdr>
        <w:top w:val="none" w:sz="0" w:space="0" w:color="auto"/>
        <w:left w:val="none" w:sz="0" w:space="0" w:color="auto"/>
        <w:bottom w:val="none" w:sz="0" w:space="0" w:color="auto"/>
        <w:right w:val="none" w:sz="0" w:space="0" w:color="auto"/>
      </w:divBdr>
      <w:divsChild>
        <w:div w:id="1826125112">
          <w:marLeft w:val="0"/>
          <w:marRight w:val="0"/>
          <w:marTop w:val="0"/>
          <w:marBottom w:val="0"/>
          <w:divBdr>
            <w:top w:val="none" w:sz="0" w:space="0" w:color="auto"/>
            <w:left w:val="none" w:sz="0" w:space="0" w:color="auto"/>
            <w:bottom w:val="none" w:sz="0" w:space="0" w:color="auto"/>
            <w:right w:val="none" w:sz="0" w:space="0" w:color="auto"/>
          </w:divBdr>
          <w:divsChild>
            <w:div w:id="1812281331">
              <w:marLeft w:val="0"/>
              <w:marRight w:val="0"/>
              <w:marTop w:val="0"/>
              <w:marBottom w:val="0"/>
              <w:divBdr>
                <w:top w:val="none" w:sz="0" w:space="0" w:color="auto"/>
                <w:left w:val="none" w:sz="0" w:space="0" w:color="auto"/>
                <w:bottom w:val="none" w:sz="0" w:space="0" w:color="auto"/>
                <w:right w:val="none" w:sz="0" w:space="0" w:color="auto"/>
              </w:divBdr>
              <w:divsChild>
                <w:div w:id="8989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972757">
      <w:bodyDiv w:val="1"/>
      <w:marLeft w:val="0"/>
      <w:marRight w:val="0"/>
      <w:marTop w:val="0"/>
      <w:marBottom w:val="0"/>
      <w:divBdr>
        <w:top w:val="none" w:sz="0" w:space="0" w:color="auto"/>
        <w:left w:val="none" w:sz="0" w:space="0" w:color="auto"/>
        <w:bottom w:val="none" w:sz="0" w:space="0" w:color="auto"/>
        <w:right w:val="none" w:sz="0" w:space="0" w:color="auto"/>
      </w:divBdr>
      <w:divsChild>
        <w:div w:id="630984612">
          <w:marLeft w:val="0"/>
          <w:marRight w:val="0"/>
          <w:marTop w:val="0"/>
          <w:marBottom w:val="0"/>
          <w:divBdr>
            <w:top w:val="none" w:sz="0" w:space="0" w:color="auto"/>
            <w:left w:val="none" w:sz="0" w:space="0" w:color="auto"/>
            <w:bottom w:val="none" w:sz="0" w:space="0" w:color="auto"/>
            <w:right w:val="none" w:sz="0" w:space="0" w:color="auto"/>
          </w:divBdr>
          <w:divsChild>
            <w:div w:id="1198198489">
              <w:marLeft w:val="0"/>
              <w:marRight w:val="0"/>
              <w:marTop w:val="0"/>
              <w:marBottom w:val="0"/>
              <w:divBdr>
                <w:top w:val="none" w:sz="0" w:space="0" w:color="auto"/>
                <w:left w:val="none" w:sz="0" w:space="0" w:color="auto"/>
                <w:bottom w:val="none" w:sz="0" w:space="0" w:color="auto"/>
                <w:right w:val="none" w:sz="0" w:space="0" w:color="auto"/>
              </w:divBdr>
              <w:divsChild>
                <w:div w:id="20910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791528">
      <w:bodyDiv w:val="1"/>
      <w:marLeft w:val="0"/>
      <w:marRight w:val="0"/>
      <w:marTop w:val="0"/>
      <w:marBottom w:val="0"/>
      <w:divBdr>
        <w:top w:val="none" w:sz="0" w:space="0" w:color="auto"/>
        <w:left w:val="none" w:sz="0" w:space="0" w:color="auto"/>
        <w:bottom w:val="none" w:sz="0" w:space="0" w:color="auto"/>
        <w:right w:val="none" w:sz="0" w:space="0" w:color="auto"/>
      </w:divBdr>
      <w:divsChild>
        <w:div w:id="1711875626">
          <w:marLeft w:val="0"/>
          <w:marRight w:val="0"/>
          <w:marTop w:val="0"/>
          <w:marBottom w:val="0"/>
          <w:divBdr>
            <w:top w:val="none" w:sz="0" w:space="0" w:color="auto"/>
            <w:left w:val="none" w:sz="0" w:space="0" w:color="auto"/>
            <w:bottom w:val="none" w:sz="0" w:space="0" w:color="auto"/>
            <w:right w:val="none" w:sz="0" w:space="0" w:color="auto"/>
          </w:divBdr>
          <w:divsChild>
            <w:div w:id="1261134691">
              <w:marLeft w:val="0"/>
              <w:marRight w:val="0"/>
              <w:marTop w:val="0"/>
              <w:marBottom w:val="0"/>
              <w:divBdr>
                <w:top w:val="none" w:sz="0" w:space="0" w:color="auto"/>
                <w:left w:val="none" w:sz="0" w:space="0" w:color="auto"/>
                <w:bottom w:val="none" w:sz="0" w:space="0" w:color="auto"/>
                <w:right w:val="none" w:sz="0" w:space="0" w:color="auto"/>
              </w:divBdr>
              <w:divsChild>
                <w:div w:id="16262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59310239">
      <w:bodyDiv w:val="1"/>
      <w:marLeft w:val="0"/>
      <w:marRight w:val="0"/>
      <w:marTop w:val="0"/>
      <w:marBottom w:val="0"/>
      <w:divBdr>
        <w:top w:val="none" w:sz="0" w:space="0" w:color="auto"/>
        <w:left w:val="none" w:sz="0" w:space="0" w:color="auto"/>
        <w:bottom w:val="none" w:sz="0" w:space="0" w:color="auto"/>
        <w:right w:val="none" w:sz="0" w:space="0" w:color="auto"/>
      </w:divBdr>
      <w:divsChild>
        <w:div w:id="1092510031">
          <w:marLeft w:val="0"/>
          <w:marRight w:val="0"/>
          <w:marTop w:val="0"/>
          <w:marBottom w:val="0"/>
          <w:divBdr>
            <w:top w:val="none" w:sz="0" w:space="0" w:color="auto"/>
            <w:left w:val="none" w:sz="0" w:space="0" w:color="auto"/>
            <w:bottom w:val="none" w:sz="0" w:space="0" w:color="auto"/>
            <w:right w:val="none" w:sz="0" w:space="0" w:color="auto"/>
          </w:divBdr>
          <w:divsChild>
            <w:div w:id="786004925">
              <w:marLeft w:val="0"/>
              <w:marRight w:val="0"/>
              <w:marTop w:val="0"/>
              <w:marBottom w:val="0"/>
              <w:divBdr>
                <w:top w:val="none" w:sz="0" w:space="0" w:color="auto"/>
                <w:left w:val="none" w:sz="0" w:space="0" w:color="auto"/>
                <w:bottom w:val="none" w:sz="0" w:space="0" w:color="auto"/>
                <w:right w:val="none" w:sz="0" w:space="0" w:color="auto"/>
              </w:divBdr>
              <w:divsChild>
                <w:div w:id="159948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507382">
      <w:bodyDiv w:val="1"/>
      <w:marLeft w:val="0"/>
      <w:marRight w:val="0"/>
      <w:marTop w:val="0"/>
      <w:marBottom w:val="0"/>
      <w:divBdr>
        <w:top w:val="none" w:sz="0" w:space="0" w:color="auto"/>
        <w:left w:val="none" w:sz="0" w:space="0" w:color="auto"/>
        <w:bottom w:val="none" w:sz="0" w:space="0" w:color="auto"/>
        <w:right w:val="none" w:sz="0" w:space="0" w:color="auto"/>
      </w:divBdr>
      <w:divsChild>
        <w:div w:id="1951891216">
          <w:marLeft w:val="0"/>
          <w:marRight w:val="0"/>
          <w:marTop w:val="0"/>
          <w:marBottom w:val="0"/>
          <w:divBdr>
            <w:top w:val="none" w:sz="0" w:space="0" w:color="auto"/>
            <w:left w:val="none" w:sz="0" w:space="0" w:color="auto"/>
            <w:bottom w:val="none" w:sz="0" w:space="0" w:color="auto"/>
            <w:right w:val="none" w:sz="0" w:space="0" w:color="auto"/>
          </w:divBdr>
          <w:divsChild>
            <w:div w:id="166405499">
              <w:marLeft w:val="0"/>
              <w:marRight w:val="0"/>
              <w:marTop w:val="0"/>
              <w:marBottom w:val="0"/>
              <w:divBdr>
                <w:top w:val="none" w:sz="0" w:space="0" w:color="auto"/>
                <w:left w:val="none" w:sz="0" w:space="0" w:color="auto"/>
                <w:bottom w:val="none" w:sz="0" w:space="0" w:color="auto"/>
                <w:right w:val="none" w:sz="0" w:space="0" w:color="auto"/>
              </w:divBdr>
              <w:divsChild>
                <w:div w:id="27198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944742">
      <w:bodyDiv w:val="1"/>
      <w:marLeft w:val="0"/>
      <w:marRight w:val="0"/>
      <w:marTop w:val="0"/>
      <w:marBottom w:val="0"/>
      <w:divBdr>
        <w:top w:val="none" w:sz="0" w:space="0" w:color="auto"/>
        <w:left w:val="none" w:sz="0" w:space="0" w:color="auto"/>
        <w:bottom w:val="none" w:sz="0" w:space="0" w:color="auto"/>
        <w:right w:val="none" w:sz="0" w:space="0" w:color="auto"/>
      </w:divBdr>
      <w:divsChild>
        <w:div w:id="69616342">
          <w:marLeft w:val="0"/>
          <w:marRight w:val="0"/>
          <w:marTop w:val="0"/>
          <w:marBottom w:val="0"/>
          <w:divBdr>
            <w:top w:val="none" w:sz="0" w:space="0" w:color="auto"/>
            <w:left w:val="none" w:sz="0" w:space="0" w:color="auto"/>
            <w:bottom w:val="none" w:sz="0" w:space="0" w:color="auto"/>
            <w:right w:val="none" w:sz="0" w:space="0" w:color="auto"/>
          </w:divBdr>
          <w:divsChild>
            <w:div w:id="947740418">
              <w:marLeft w:val="0"/>
              <w:marRight w:val="0"/>
              <w:marTop w:val="0"/>
              <w:marBottom w:val="0"/>
              <w:divBdr>
                <w:top w:val="none" w:sz="0" w:space="0" w:color="auto"/>
                <w:left w:val="none" w:sz="0" w:space="0" w:color="auto"/>
                <w:bottom w:val="none" w:sz="0" w:space="0" w:color="auto"/>
                <w:right w:val="none" w:sz="0" w:space="0" w:color="auto"/>
              </w:divBdr>
              <w:divsChild>
                <w:div w:id="111537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0654">
      <w:bodyDiv w:val="1"/>
      <w:marLeft w:val="0"/>
      <w:marRight w:val="0"/>
      <w:marTop w:val="0"/>
      <w:marBottom w:val="0"/>
      <w:divBdr>
        <w:top w:val="none" w:sz="0" w:space="0" w:color="auto"/>
        <w:left w:val="none" w:sz="0" w:space="0" w:color="auto"/>
        <w:bottom w:val="none" w:sz="0" w:space="0" w:color="auto"/>
        <w:right w:val="none" w:sz="0" w:space="0" w:color="auto"/>
      </w:divBdr>
      <w:divsChild>
        <w:div w:id="838889261">
          <w:marLeft w:val="0"/>
          <w:marRight w:val="0"/>
          <w:marTop w:val="0"/>
          <w:marBottom w:val="0"/>
          <w:divBdr>
            <w:top w:val="none" w:sz="0" w:space="0" w:color="auto"/>
            <w:left w:val="none" w:sz="0" w:space="0" w:color="auto"/>
            <w:bottom w:val="none" w:sz="0" w:space="0" w:color="auto"/>
            <w:right w:val="none" w:sz="0" w:space="0" w:color="auto"/>
          </w:divBdr>
          <w:divsChild>
            <w:div w:id="1273826449">
              <w:marLeft w:val="0"/>
              <w:marRight w:val="0"/>
              <w:marTop w:val="0"/>
              <w:marBottom w:val="0"/>
              <w:divBdr>
                <w:top w:val="none" w:sz="0" w:space="0" w:color="auto"/>
                <w:left w:val="none" w:sz="0" w:space="0" w:color="auto"/>
                <w:bottom w:val="none" w:sz="0" w:space="0" w:color="auto"/>
                <w:right w:val="none" w:sz="0" w:space="0" w:color="auto"/>
              </w:divBdr>
              <w:divsChild>
                <w:div w:id="136721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593357">
      <w:bodyDiv w:val="1"/>
      <w:marLeft w:val="0"/>
      <w:marRight w:val="0"/>
      <w:marTop w:val="0"/>
      <w:marBottom w:val="0"/>
      <w:divBdr>
        <w:top w:val="none" w:sz="0" w:space="0" w:color="auto"/>
        <w:left w:val="none" w:sz="0" w:space="0" w:color="auto"/>
        <w:bottom w:val="none" w:sz="0" w:space="0" w:color="auto"/>
        <w:right w:val="none" w:sz="0" w:space="0" w:color="auto"/>
      </w:divBdr>
      <w:divsChild>
        <w:div w:id="821625047">
          <w:marLeft w:val="0"/>
          <w:marRight w:val="0"/>
          <w:marTop w:val="0"/>
          <w:marBottom w:val="0"/>
          <w:divBdr>
            <w:top w:val="none" w:sz="0" w:space="0" w:color="auto"/>
            <w:left w:val="none" w:sz="0" w:space="0" w:color="auto"/>
            <w:bottom w:val="none" w:sz="0" w:space="0" w:color="auto"/>
            <w:right w:val="none" w:sz="0" w:space="0" w:color="auto"/>
          </w:divBdr>
          <w:divsChild>
            <w:div w:id="1041436004">
              <w:marLeft w:val="0"/>
              <w:marRight w:val="0"/>
              <w:marTop w:val="0"/>
              <w:marBottom w:val="0"/>
              <w:divBdr>
                <w:top w:val="none" w:sz="0" w:space="0" w:color="auto"/>
                <w:left w:val="none" w:sz="0" w:space="0" w:color="auto"/>
                <w:bottom w:val="none" w:sz="0" w:space="0" w:color="auto"/>
                <w:right w:val="none" w:sz="0" w:space="0" w:color="auto"/>
              </w:divBdr>
              <w:divsChild>
                <w:div w:id="100204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325821">
      <w:bodyDiv w:val="1"/>
      <w:marLeft w:val="0"/>
      <w:marRight w:val="0"/>
      <w:marTop w:val="0"/>
      <w:marBottom w:val="0"/>
      <w:divBdr>
        <w:top w:val="none" w:sz="0" w:space="0" w:color="auto"/>
        <w:left w:val="none" w:sz="0" w:space="0" w:color="auto"/>
        <w:bottom w:val="none" w:sz="0" w:space="0" w:color="auto"/>
        <w:right w:val="none" w:sz="0" w:space="0" w:color="auto"/>
      </w:divBdr>
      <w:divsChild>
        <w:div w:id="2008513552">
          <w:marLeft w:val="0"/>
          <w:marRight w:val="0"/>
          <w:marTop w:val="0"/>
          <w:marBottom w:val="0"/>
          <w:divBdr>
            <w:top w:val="none" w:sz="0" w:space="0" w:color="auto"/>
            <w:left w:val="none" w:sz="0" w:space="0" w:color="auto"/>
            <w:bottom w:val="none" w:sz="0" w:space="0" w:color="auto"/>
            <w:right w:val="none" w:sz="0" w:space="0" w:color="auto"/>
          </w:divBdr>
          <w:divsChild>
            <w:div w:id="1517302323">
              <w:marLeft w:val="0"/>
              <w:marRight w:val="0"/>
              <w:marTop w:val="0"/>
              <w:marBottom w:val="0"/>
              <w:divBdr>
                <w:top w:val="none" w:sz="0" w:space="0" w:color="auto"/>
                <w:left w:val="none" w:sz="0" w:space="0" w:color="auto"/>
                <w:bottom w:val="none" w:sz="0" w:space="0" w:color="auto"/>
                <w:right w:val="none" w:sz="0" w:space="0" w:color="auto"/>
              </w:divBdr>
              <w:divsChild>
                <w:div w:id="346904404">
                  <w:marLeft w:val="0"/>
                  <w:marRight w:val="0"/>
                  <w:marTop w:val="0"/>
                  <w:marBottom w:val="0"/>
                  <w:divBdr>
                    <w:top w:val="none" w:sz="0" w:space="0" w:color="auto"/>
                    <w:left w:val="none" w:sz="0" w:space="0" w:color="auto"/>
                    <w:bottom w:val="none" w:sz="0" w:space="0" w:color="auto"/>
                    <w:right w:val="none" w:sz="0" w:space="0" w:color="auto"/>
                  </w:divBdr>
                  <w:divsChild>
                    <w:div w:id="540939616">
                      <w:marLeft w:val="0"/>
                      <w:marRight w:val="0"/>
                      <w:marTop w:val="0"/>
                      <w:marBottom w:val="0"/>
                      <w:divBdr>
                        <w:top w:val="none" w:sz="0" w:space="0" w:color="auto"/>
                        <w:left w:val="none" w:sz="0" w:space="0" w:color="auto"/>
                        <w:bottom w:val="none" w:sz="0" w:space="0" w:color="auto"/>
                        <w:right w:val="none" w:sz="0" w:space="0" w:color="auto"/>
                      </w:divBdr>
                      <w:divsChild>
                        <w:div w:id="9468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831331">
                  <w:marLeft w:val="0"/>
                  <w:marRight w:val="0"/>
                  <w:marTop w:val="0"/>
                  <w:marBottom w:val="0"/>
                  <w:divBdr>
                    <w:top w:val="none" w:sz="0" w:space="0" w:color="auto"/>
                    <w:left w:val="none" w:sz="0" w:space="0" w:color="auto"/>
                    <w:bottom w:val="none" w:sz="0" w:space="0" w:color="auto"/>
                    <w:right w:val="none" w:sz="0" w:space="0" w:color="auto"/>
                  </w:divBdr>
                  <w:divsChild>
                    <w:div w:id="1791778699">
                      <w:marLeft w:val="0"/>
                      <w:marRight w:val="0"/>
                      <w:marTop w:val="0"/>
                      <w:marBottom w:val="0"/>
                      <w:divBdr>
                        <w:top w:val="none" w:sz="0" w:space="0" w:color="auto"/>
                        <w:left w:val="none" w:sz="0" w:space="0" w:color="auto"/>
                        <w:bottom w:val="none" w:sz="0" w:space="0" w:color="auto"/>
                        <w:right w:val="none" w:sz="0" w:space="0" w:color="auto"/>
                      </w:divBdr>
                      <w:divsChild>
                        <w:div w:id="13555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447137">
      <w:bodyDiv w:val="1"/>
      <w:marLeft w:val="0"/>
      <w:marRight w:val="0"/>
      <w:marTop w:val="0"/>
      <w:marBottom w:val="0"/>
      <w:divBdr>
        <w:top w:val="none" w:sz="0" w:space="0" w:color="auto"/>
        <w:left w:val="none" w:sz="0" w:space="0" w:color="auto"/>
        <w:bottom w:val="none" w:sz="0" w:space="0" w:color="auto"/>
        <w:right w:val="none" w:sz="0" w:space="0" w:color="auto"/>
      </w:divBdr>
      <w:divsChild>
        <w:div w:id="581909893">
          <w:marLeft w:val="0"/>
          <w:marRight w:val="0"/>
          <w:marTop w:val="0"/>
          <w:marBottom w:val="0"/>
          <w:divBdr>
            <w:top w:val="none" w:sz="0" w:space="0" w:color="auto"/>
            <w:left w:val="none" w:sz="0" w:space="0" w:color="auto"/>
            <w:bottom w:val="none" w:sz="0" w:space="0" w:color="auto"/>
            <w:right w:val="none" w:sz="0" w:space="0" w:color="auto"/>
          </w:divBdr>
          <w:divsChild>
            <w:div w:id="1768620637">
              <w:marLeft w:val="0"/>
              <w:marRight w:val="0"/>
              <w:marTop w:val="0"/>
              <w:marBottom w:val="0"/>
              <w:divBdr>
                <w:top w:val="none" w:sz="0" w:space="0" w:color="auto"/>
                <w:left w:val="none" w:sz="0" w:space="0" w:color="auto"/>
                <w:bottom w:val="none" w:sz="0" w:space="0" w:color="auto"/>
                <w:right w:val="none" w:sz="0" w:space="0" w:color="auto"/>
              </w:divBdr>
              <w:divsChild>
                <w:div w:id="37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876604">
      <w:bodyDiv w:val="1"/>
      <w:marLeft w:val="0"/>
      <w:marRight w:val="0"/>
      <w:marTop w:val="0"/>
      <w:marBottom w:val="0"/>
      <w:divBdr>
        <w:top w:val="none" w:sz="0" w:space="0" w:color="auto"/>
        <w:left w:val="none" w:sz="0" w:space="0" w:color="auto"/>
        <w:bottom w:val="none" w:sz="0" w:space="0" w:color="auto"/>
        <w:right w:val="none" w:sz="0" w:space="0" w:color="auto"/>
      </w:divBdr>
      <w:divsChild>
        <w:div w:id="1671832283">
          <w:marLeft w:val="0"/>
          <w:marRight w:val="0"/>
          <w:marTop w:val="0"/>
          <w:marBottom w:val="0"/>
          <w:divBdr>
            <w:top w:val="none" w:sz="0" w:space="0" w:color="auto"/>
            <w:left w:val="none" w:sz="0" w:space="0" w:color="auto"/>
            <w:bottom w:val="none" w:sz="0" w:space="0" w:color="auto"/>
            <w:right w:val="none" w:sz="0" w:space="0" w:color="auto"/>
          </w:divBdr>
          <w:divsChild>
            <w:div w:id="1587226916">
              <w:marLeft w:val="0"/>
              <w:marRight w:val="0"/>
              <w:marTop w:val="0"/>
              <w:marBottom w:val="0"/>
              <w:divBdr>
                <w:top w:val="none" w:sz="0" w:space="0" w:color="auto"/>
                <w:left w:val="none" w:sz="0" w:space="0" w:color="auto"/>
                <w:bottom w:val="none" w:sz="0" w:space="0" w:color="auto"/>
                <w:right w:val="none" w:sz="0" w:space="0" w:color="auto"/>
              </w:divBdr>
              <w:divsChild>
                <w:div w:id="1224368130">
                  <w:marLeft w:val="0"/>
                  <w:marRight w:val="0"/>
                  <w:marTop w:val="0"/>
                  <w:marBottom w:val="0"/>
                  <w:divBdr>
                    <w:top w:val="none" w:sz="0" w:space="0" w:color="auto"/>
                    <w:left w:val="none" w:sz="0" w:space="0" w:color="auto"/>
                    <w:bottom w:val="none" w:sz="0" w:space="0" w:color="auto"/>
                    <w:right w:val="none" w:sz="0" w:space="0" w:color="auto"/>
                  </w:divBdr>
                  <w:divsChild>
                    <w:div w:id="7491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131790">
      <w:bodyDiv w:val="1"/>
      <w:marLeft w:val="0"/>
      <w:marRight w:val="0"/>
      <w:marTop w:val="0"/>
      <w:marBottom w:val="0"/>
      <w:divBdr>
        <w:top w:val="none" w:sz="0" w:space="0" w:color="auto"/>
        <w:left w:val="none" w:sz="0" w:space="0" w:color="auto"/>
        <w:bottom w:val="none" w:sz="0" w:space="0" w:color="auto"/>
        <w:right w:val="none" w:sz="0" w:space="0" w:color="auto"/>
      </w:divBdr>
      <w:divsChild>
        <w:div w:id="562759078">
          <w:marLeft w:val="0"/>
          <w:marRight w:val="0"/>
          <w:marTop w:val="0"/>
          <w:marBottom w:val="0"/>
          <w:divBdr>
            <w:top w:val="none" w:sz="0" w:space="0" w:color="auto"/>
            <w:left w:val="none" w:sz="0" w:space="0" w:color="auto"/>
            <w:bottom w:val="none" w:sz="0" w:space="0" w:color="auto"/>
            <w:right w:val="none" w:sz="0" w:space="0" w:color="auto"/>
          </w:divBdr>
          <w:divsChild>
            <w:div w:id="1924992899">
              <w:marLeft w:val="0"/>
              <w:marRight w:val="0"/>
              <w:marTop w:val="0"/>
              <w:marBottom w:val="0"/>
              <w:divBdr>
                <w:top w:val="none" w:sz="0" w:space="0" w:color="auto"/>
                <w:left w:val="none" w:sz="0" w:space="0" w:color="auto"/>
                <w:bottom w:val="none" w:sz="0" w:space="0" w:color="auto"/>
                <w:right w:val="none" w:sz="0" w:space="0" w:color="auto"/>
              </w:divBdr>
              <w:divsChild>
                <w:div w:id="8665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0078260">
      <w:bodyDiv w:val="1"/>
      <w:marLeft w:val="0"/>
      <w:marRight w:val="0"/>
      <w:marTop w:val="0"/>
      <w:marBottom w:val="0"/>
      <w:divBdr>
        <w:top w:val="none" w:sz="0" w:space="0" w:color="auto"/>
        <w:left w:val="none" w:sz="0" w:space="0" w:color="auto"/>
        <w:bottom w:val="none" w:sz="0" w:space="0" w:color="auto"/>
        <w:right w:val="none" w:sz="0" w:space="0" w:color="auto"/>
      </w:divBdr>
      <w:divsChild>
        <w:div w:id="194193089">
          <w:marLeft w:val="0"/>
          <w:marRight w:val="0"/>
          <w:marTop w:val="0"/>
          <w:marBottom w:val="0"/>
          <w:divBdr>
            <w:top w:val="none" w:sz="0" w:space="0" w:color="auto"/>
            <w:left w:val="none" w:sz="0" w:space="0" w:color="auto"/>
            <w:bottom w:val="none" w:sz="0" w:space="0" w:color="auto"/>
            <w:right w:val="none" w:sz="0" w:space="0" w:color="auto"/>
          </w:divBdr>
          <w:divsChild>
            <w:div w:id="1242595080">
              <w:marLeft w:val="0"/>
              <w:marRight w:val="0"/>
              <w:marTop w:val="0"/>
              <w:marBottom w:val="0"/>
              <w:divBdr>
                <w:top w:val="none" w:sz="0" w:space="0" w:color="auto"/>
                <w:left w:val="none" w:sz="0" w:space="0" w:color="auto"/>
                <w:bottom w:val="none" w:sz="0" w:space="0" w:color="auto"/>
                <w:right w:val="none" w:sz="0" w:space="0" w:color="auto"/>
              </w:divBdr>
              <w:divsChild>
                <w:div w:id="37357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82557">
      <w:bodyDiv w:val="1"/>
      <w:marLeft w:val="0"/>
      <w:marRight w:val="0"/>
      <w:marTop w:val="0"/>
      <w:marBottom w:val="0"/>
      <w:divBdr>
        <w:top w:val="none" w:sz="0" w:space="0" w:color="auto"/>
        <w:left w:val="none" w:sz="0" w:space="0" w:color="auto"/>
        <w:bottom w:val="none" w:sz="0" w:space="0" w:color="auto"/>
        <w:right w:val="none" w:sz="0" w:space="0" w:color="auto"/>
      </w:divBdr>
      <w:divsChild>
        <w:div w:id="658848227">
          <w:marLeft w:val="0"/>
          <w:marRight w:val="0"/>
          <w:marTop w:val="0"/>
          <w:marBottom w:val="0"/>
          <w:divBdr>
            <w:top w:val="none" w:sz="0" w:space="0" w:color="auto"/>
            <w:left w:val="none" w:sz="0" w:space="0" w:color="auto"/>
            <w:bottom w:val="none" w:sz="0" w:space="0" w:color="auto"/>
            <w:right w:val="none" w:sz="0" w:space="0" w:color="auto"/>
          </w:divBdr>
          <w:divsChild>
            <w:div w:id="1857380740">
              <w:marLeft w:val="0"/>
              <w:marRight w:val="0"/>
              <w:marTop w:val="0"/>
              <w:marBottom w:val="0"/>
              <w:divBdr>
                <w:top w:val="none" w:sz="0" w:space="0" w:color="auto"/>
                <w:left w:val="none" w:sz="0" w:space="0" w:color="auto"/>
                <w:bottom w:val="none" w:sz="0" w:space="0" w:color="auto"/>
                <w:right w:val="none" w:sz="0" w:space="0" w:color="auto"/>
              </w:divBdr>
              <w:divsChild>
                <w:div w:id="112080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15442">
      <w:bodyDiv w:val="1"/>
      <w:marLeft w:val="0"/>
      <w:marRight w:val="0"/>
      <w:marTop w:val="0"/>
      <w:marBottom w:val="0"/>
      <w:divBdr>
        <w:top w:val="none" w:sz="0" w:space="0" w:color="auto"/>
        <w:left w:val="none" w:sz="0" w:space="0" w:color="auto"/>
        <w:bottom w:val="none" w:sz="0" w:space="0" w:color="auto"/>
        <w:right w:val="none" w:sz="0" w:space="0" w:color="auto"/>
      </w:divBdr>
      <w:divsChild>
        <w:div w:id="30305466">
          <w:marLeft w:val="0"/>
          <w:marRight w:val="0"/>
          <w:marTop w:val="0"/>
          <w:marBottom w:val="0"/>
          <w:divBdr>
            <w:top w:val="none" w:sz="0" w:space="0" w:color="auto"/>
            <w:left w:val="none" w:sz="0" w:space="0" w:color="auto"/>
            <w:bottom w:val="none" w:sz="0" w:space="0" w:color="auto"/>
            <w:right w:val="none" w:sz="0" w:space="0" w:color="auto"/>
          </w:divBdr>
          <w:divsChild>
            <w:div w:id="304239228">
              <w:marLeft w:val="0"/>
              <w:marRight w:val="0"/>
              <w:marTop w:val="0"/>
              <w:marBottom w:val="0"/>
              <w:divBdr>
                <w:top w:val="none" w:sz="0" w:space="0" w:color="auto"/>
                <w:left w:val="none" w:sz="0" w:space="0" w:color="auto"/>
                <w:bottom w:val="none" w:sz="0" w:space="0" w:color="auto"/>
                <w:right w:val="none" w:sz="0" w:space="0" w:color="auto"/>
              </w:divBdr>
              <w:divsChild>
                <w:div w:id="204173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129319">
      <w:bodyDiv w:val="1"/>
      <w:marLeft w:val="0"/>
      <w:marRight w:val="0"/>
      <w:marTop w:val="0"/>
      <w:marBottom w:val="0"/>
      <w:divBdr>
        <w:top w:val="none" w:sz="0" w:space="0" w:color="auto"/>
        <w:left w:val="none" w:sz="0" w:space="0" w:color="auto"/>
        <w:bottom w:val="none" w:sz="0" w:space="0" w:color="auto"/>
        <w:right w:val="none" w:sz="0" w:space="0" w:color="auto"/>
      </w:divBdr>
      <w:divsChild>
        <w:div w:id="1417750232">
          <w:marLeft w:val="0"/>
          <w:marRight w:val="0"/>
          <w:marTop w:val="0"/>
          <w:marBottom w:val="0"/>
          <w:divBdr>
            <w:top w:val="none" w:sz="0" w:space="0" w:color="auto"/>
            <w:left w:val="none" w:sz="0" w:space="0" w:color="auto"/>
            <w:bottom w:val="none" w:sz="0" w:space="0" w:color="auto"/>
            <w:right w:val="none" w:sz="0" w:space="0" w:color="auto"/>
          </w:divBdr>
          <w:divsChild>
            <w:div w:id="1304848050">
              <w:marLeft w:val="0"/>
              <w:marRight w:val="0"/>
              <w:marTop w:val="0"/>
              <w:marBottom w:val="0"/>
              <w:divBdr>
                <w:top w:val="none" w:sz="0" w:space="0" w:color="auto"/>
                <w:left w:val="none" w:sz="0" w:space="0" w:color="auto"/>
                <w:bottom w:val="none" w:sz="0" w:space="0" w:color="auto"/>
                <w:right w:val="none" w:sz="0" w:space="0" w:color="auto"/>
              </w:divBdr>
              <w:divsChild>
                <w:div w:id="131252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52453">
      <w:bodyDiv w:val="1"/>
      <w:marLeft w:val="0"/>
      <w:marRight w:val="0"/>
      <w:marTop w:val="0"/>
      <w:marBottom w:val="0"/>
      <w:divBdr>
        <w:top w:val="none" w:sz="0" w:space="0" w:color="auto"/>
        <w:left w:val="none" w:sz="0" w:space="0" w:color="auto"/>
        <w:bottom w:val="none" w:sz="0" w:space="0" w:color="auto"/>
        <w:right w:val="none" w:sz="0" w:space="0" w:color="auto"/>
      </w:divBdr>
      <w:divsChild>
        <w:div w:id="1612393083">
          <w:marLeft w:val="0"/>
          <w:marRight w:val="0"/>
          <w:marTop w:val="0"/>
          <w:marBottom w:val="0"/>
          <w:divBdr>
            <w:top w:val="none" w:sz="0" w:space="0" w:color="auto"/>
            <w:left w:val="none" w:sz="0" w:space="0" w:color="auto"/>
            <w:bottom w:val="none" w:sz="0" w:space="0" w:color="auto"/>
            <w:right w:val="none" w:sz="0" w:space="0" w:color="auto"/>
          </w:divBdr>
          <w:divsChild>
            <w:div w:id="721759224">
              <w:marLeft w:val="0"/>
              <w:marRight w:val="0"/>
              <w:marTop w:val="0"/>
              <w:marBottom w:val="0"/>
              <w:divBdr>
                <w:top w:val="none" w:sz="0" w:space="0" w:color="auto"/>
                <w:left w:val="none" w:sz="0" w:space="0" w:color="auto"/>
                <w:bottom w:val="none" w:sz="0" w:space="0" w:color="auto"/>
                <w:right w:val="none" w:sz="0" w:space="0" w:color="auto"/>
              </w:divBdr>
              <w:divsChild>
                <w:div w:id="12138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533402">
      <w:bodyDiv w:val="1"/>
      <w:marLeft w:val="0"/>
      <w:marRight w:val="0"/>
      <w:marTop w:val="0"/>
      <w:marBottom w:val="0"/>
      <w:divBdr>
        <w:top w:val="none" w:sz="0" w:space="0" w:color="auto"/>
        <w:left w:val="none" w:sz="0" w:space="0" w:color="auto"/>
        <w:bottom w:val="none" w:sz="0" w:space="0" w:color="auto"/>
        <w:right w:val="none" w:sz="0" w:space="0" w:color="auto"/>
      </w:divBdr>
      <w:divsChild>
        <w:div w:id="1738624421">
          <w:marLeft w:val="0"/>
          <w:marRight w:val="0"/>
          <w:marTop w:val="0"/>
          <w:marBottom w:val="0"/>
          <w:divBdr>
            <w:top w:val="none" w:sz="0" w:space="0" w:color="auto"/>
            <w:left w:val="none" w:sz="0" w:space="0" w:color="auto"/>
            <w:bottom w:val="none" w:sz="0" w:space="0" w:color="auto"/>
            <w:right w:val="none" w:sz="0" w:space="0" w:color="auto"/>
          </w:divBdr>
          <w:divsChild>
            <w:div w:id="1858545256">
              <w:marLeft w:val="0"/>
              <w:marRight w:val="0"/>
              <w:marTop w:val="0"/>
              <w:marBottom w:val="0"/>
              <w:divBdr>
                <w:top w:val="none" w:sz="0" w:space="0" w:color="auto"/>
                <w:left w:val="none" w:sz="0" w:space="0" w:color="auto"/>
                <w:bottom w:val="none" w:sz="0" w:space="0" w:color="auto"/>
                <w:right w:val="none" w:sz="0" w:space="0" w:color="auto"/>
              </w:divBdr>
              <w:divsChild>
                <w:div w:id="165630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27995">
      <w:bodyDiv w:val="1"/>
      <w:marLeft w:val="0"/>
      <w:marRight w:val="0"/>
      <w:marTop w:val="0"/>
      <w:marBottom w:val="0"/>
      <w:divBdr>
        <w:top w:val="none" w:sz="0" w:space="0" w:color="auto"/>
        <w:left w:val="none" w:sz="0" w:space="0" w:color="auto"/>
        <w:bottom w:val="none" w:sz="0" w:space="0" w:color="auto"/>
        <w:right w:val="none" w:sz="0" w:space="0" w:color="auto"/>
      </w:divBdr>
      <w:divsChild>
        <w:div w:id="1579709600">
          <w:marLeft w:val="0"/>
          <w:marRight w:val="0"/>
          <w:marTop w:val="0"/>
          <w:marBottom w:val="0"/>
          <w:divBdr>
            <w:top w:val="none" w:sz="0" w:space="0" w:color="auto"/>
            <w:left w:val="none" w:sz="0" w:space="0" w:color="auto"/>
            <w:bottom w:val="none" w:sz="0" w:space="0" w:color="auto"/>
            <w:right w:val="none" w:sz="0" w:space="0" w:color="auto"/>
          </w:divBdr>
          <w:divsChild>
            <w:div w:id="756174482">
              <w:marLeft w:val="0"/>
              <w:marRight w:val="0"/>
              <w:marTop w:val="0"/>
              <w:marBottom w:val="0"/>
              <w:divBdr>
                <w:top w:val="none" w:sz="0" w:space="0" w:color="auto"/>
                <w:left w:val="none" w:sz="0" w:space="0" w:color="auto"/>
                <w:bottom w:val="none" w:sz="0" w:space="0" w:color="auto"/>
                <w:right w:val="none" w:sz="0" w:space="0" w:color="auto"/>
              </w:divBdr>
              <w:divsChild>
                <w:div w:id="2109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063">
      <w:bodyDiv w:val="1"/>
      <w:marLeft w:val="0"/>
      <w:marRight w:val="0"/>
      <w:marTop w:val="0"/>
      <w:marBottom w:val="0"/>
      <w:divBdr>
        <w:top w:val="none" w:sz="0" w:space="0" w:color="auto"/>
        <w:left w:val="none" w:sz="0" w:space="0" w:color="auto"/>
        <w:bottom w:val="none" w:sz="0" w:space="0" w:color="auto"/>
        <w:right w:val="none" w:sz="0" w:space="0" w:color="auto"/>
      </w:divBdr>
      <w:divsChild>
        <w:div w:id="987317225">
          <w:marLeft w:val="0"/>
          <w:marRight w:val="0"/>
          <w:marTop w:val="0"/>
          <w:marBottom w:val="0"/>
          <w:divBdr>
            <w:top w:val="none" w:sz="0" w:space="0" w:color="auto"/>
            <w:left w:val="none" w:sz="0" w:space="0" w:color="auto"/>
            <w:bottom w:val="none" w:sz="0" w:space="0" w:color="auto"/>
            <w:right w:val="none" w:sz="0" w:space="0" w:color="auto"/>
          </w:divBdr>
          <w:divsChild>
            <w:div w:id="925311380">
              <w:marLeft w:val="0"/>
              <w:marRight w:val="0"/>
              <w:marTop w:val="0"/>
              <w:marBottom w:val="0"/>
              <w:divBdr>
                <w:top w:val="none" w:sz="0" w:space="0" w:color="auto"/>
                <w:left w:val="none" w:sz="0" w:space="0" w:color="auto"/>
                <w:bottom w:val="none" w:sz="0" w:space="0" w:color="auto"/>
                <w:right w:val="none" w:sz="0" w:space="0" w:color="auto"/>
              </w:divBdr>
              <w:divsChild>
                <w:div w:id="15079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8523">
      <w:bodyDiv w:val="1"/>
      <w:marLeft w:val="0"/>
      <w:marRight w:val="0"/>
      <w:marTop w:val="0"/>
      <w:marBottom w:val="0"/>
      <w:divBdr>
        <w:top w:val="none" w:sz="0" w:space="0" w:color="auto"/>
        <w:left w:val="none" w:sz="0" w:space="0" w:color="auto"/>
        <w:bottom w:val="none" w:sz="0" w:space="0" w:color="auto"/>
        <w:right w:val="none" w:sz="0" w:space="0" w:color="auto"/>
      </w:divBdr>
      <w:divsChild>
        <w:div w:id="224267424">
          <w:marLeft w:val="0"/>
          <w:marRight w:val="0"/>
          <w:marTop w:val="0"/>
          <w:marBottom w:val="0"/>
          <w:divBdr>
            <w:top w:val="none" w:sz="0" w:space="0" w:color="auto"/>
            <w:left w:val="none" w:sz="0" w:space="0" w:color="auto"/>
            <w:bottom w:val="none" w:sz="0" w:space="0" w:color="auto"/>
            <w:right w:val="none" w:sz="0" w:space="0" w:color="auto"/>
          </w:divBdr>
          <w:divsChild>
            <w:div w:id="309751876">
              <w:marLeft w:val="0"/>
              <w:marRight w:val="0"/>
              <w:marTop w:val="0"/>
              <w:marBottom w:val="0"/>
              <w:divBdr>
                <w:top w:val="none" w:sz="0" w:space="0" w:color="auto"/>
                <w:left w:val="none" w:sz="0" w:space="0" w:color="auto"/>
                <w:bottom w:val="none" w:sz="0" w:space="0" w:color="auto"/>
                <w:right w:val="none" w:sz="0" w:space="0" w:color="auto"/>
              </w:divBdr>
              <w:divsChild>
                <w:div w:id="12768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35312555">
      <w:bodyDiv w:val="1"/>
      <w:marLeft w:val="0"/>
      <w:marRight w:val="0"/>
      <w:marTop w:val="0"/>
      <w:marBottom w:val="0"/>
      <w:divBdr>
        <w:top w:val="none" w:sz="0" w:space="0" w:color="auto"/>
        <w:left w:val="none" w:sz="0" w:space="0" w:color="auto"/>
        <w:bottom w:val="none" w:sz="0" w:space="0" w:color="auto"/>
        <w:right w:val="none" w:sz="0" w:space="0" w:color="auto"/>
      </w:divBdr>
      <w:divsChild>
        <w:div w:id="888027616">
          <w:marLeft w:val="0"/>
          <w:marRight w:val="0"/>
          <w:marTop w:val="0"/>
          <w:marBottom w:val="0"/>
          <w:divBdr>
            <w:top w:val="none" w:sz="0" w:space="0" w:color="auto"/>
            <w:left w:val="none" w:sz="0" w:space="0" w:color="auto"/>
            <w:bottom w:val="none" w:sz="0" w:space="0" w:color="auto"/>
            <w:right w:val="none" w:sz="0" w:space="0" w:color="auto"/>
          </w:divBdr>
          <w:divsChild>
            <w:div w:id="165361285">
              <w:marLeft w:val="0"/>
              <w:marRight w:val="0"/>
              <w:marTop w:val="0"/>
              <w:marBottom w:val="0"/>
              <w:divBdr>
                <w:top w:val="none" w:sz="0" w:space="0" w:color="auto"/>
                <w:left w:val="none" w:sz="0" w:space="0" w:color="auto"/>
                <w:bottom w:val="none" w:sz="0" w:space="0" w:color="auto"/>
                <w:right w:val="none" w:sz="0" w:space="0" w:color="auto"/>
              </w:divBdr>
              <w:divsChild>
                <w:div w:id="88024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840846">
      <w:bodyDiv w:val="1"/>
      <w:marLeft w:val="0"/>
      <w:marRight w:val="0"/>
      <w:marTop w:val="0"/>
      <w:marBottom w:val="0"/>
      <w:divBdr>
        <w:top w:val="none" w:sz="0" w:space="0" w:color="auto"/>
        <w:left w:val="none" w:sz="0" w:space="0" w:color="auto"/>
        <w:bottom w:val="none" w:sz="0" w:space="0" w:color="auto"/>
        <w:right w:val="none" w:sz="0" w:space="0" w:color="auto"/>
      </w:divBdr>
      <w:divsChild>
        <w:div w:id="1346247668">
          <w:marLeft w:val="0"/>
          <w:marRight w:val="0"/>
          <w:marTop w:val="0"/>
          <w:marBottom w:val="0"/>
          <w:divBdr>
            <w:top w:val="none" w:sz="0" w:space="0" w:color="auto"/>
            <w:left w:val="none" w:sz="0" w:space="0" w:color="auto"/>
            <w:bottom w:val="none" w:sz="0" w:space="0" w:color="auto"/>
            <w:right w:val="none" w:sz="0" w:space="0" w:color="auto"/>
          </w:divBdr>
          <w:divsChild>
            <w:div w:id="1208878516">
              <w:marLeft w:val="0"/>
              <w:marRight w:val="0"/>
              <w:marTop w:val="0"/>
              <w:marBottom w:val="0"/>
              <w:divBdr>
                <w:top w:val="none" w:sz="0" w:space="0" w:color="auto"/>
                <w:left w:val="none" w:sz="0" w:space="0" w:color="auto"/>
                <w:bottom w:val="none" w:sz="0" w:space="0" w:color="auto"/>
                <w:right w:val="none" w:sz="0" w:space="0" w:color="auto"/>
              </w:divBdr>
              <w:divsChild>
                <w:div w:id="148781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70411">
      <w:bodyDiv w:val="1"/>
      <w:marLeft w:val="0"/>
      <w:marRight w:val="0"/>
      <w:marTop w:val="0"/>
      <w:marBottom w:val="0"/>
      <w:divBdr>
        <w:top w:val="none" w:sz="0" w:space="0" w:color="auto"/>
        <w:left w:val="none" w:sz="0" w:space="0" w:color="auto"/>
        <w:bottom w:val="none" w:sz="0" w:space="0" w:color="auto"/>
        <w:right w:val="none" w:sz="0" w:space="0" w:color="auto"/>
      </w:divBdr>
      <w:divsChild>
        <w:div w:id="535775206">
          <w:marLeft w:val="0"/>
          <w:marRight w:val="0"/>
          <w:marTop w:val="0"/>
          <w:marBottom w:val="0"/>
          <w:divBdr>
            <w:top w:val="none" w:sz="0" w:space="0" w:color="auto"/>
            <w:left w:val="none" w:sz="0" w:space="0" w:color="auto"/>
            <w:bottom w:val="none" w:sz="0" w:space="0" w:color="auto"/>
            <w:right w:val="none" w:sz="0" w:space="0" w:color="auto"/>
          </w:divBdr>
          <w:divsChild>
            <w:div w:id="985085122">
              <w:marLeft w:val="0"/>
              <w:marRight w:val="0"/>
              <w:marTop w:val="0"/>
              <w:marBottom w:val="0"/>
              <w:divBdr>
                <w:top w:val="none" w:sz="0" w:space="0" w:color="auto"/>
                <w:left w:val="none" w:sz="0" w:space="0" w:color="auto"/>
                <w:bottom w:val="none" w:sz="0" w:space="0" w:color="auto"/>
                <w:right w:val="none" w:sz="0" w:space="0" w:color="auto"/>
              </w:divBdr>
              <w:divsChild>
                <w:div w:id="1969239182">
                  <w:marLeft w:val="0"/>
                  <w:marRight w:val="0"/>
                  <w:marTop w:val="0"/>
                  <w:marBottom w:val="0"/>
                  <w:divBdr>
                    <w:top w:val="none" w:sz="0" w:space="0" w:color="auto"/>
                    <w:left w:val="none" w:sz="0" w:space="0" w:color="auto"/>
                    <w:bottom w:val="none" w:sz="0" w:space="0" w:color="auto"/>
                    <w:right w:val="none" w:sz="0" w:space="0" w:color="auto"/>
                  </w:divBdr>
                  <w:divsChild>
                    <w:div w:id="27999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902856">
      <w:bodyDiv w:val="1"/>
      <w:marLeft w:val="0"/>
      <w:marRight w:val="0"/>
      <w:marTop w:val="0"/>
      <w:marBottom w:val="0"/>
      <w:divBdr>
        <w:top w:val="none" w:sz="0" w:space="0" w:color="auto"/>
        <w:left w:val="none" w:sz="0" w:space="0" w:color="auto"/>
        <w:bottom w:val="none" w:sz="0" w:space="0" w:color="auto"/>
        <w:right w:val="none" w:sz="0" w:space="0" w:color="auto"/>
      </w:divBdr>
      <w:divsChild>
        <w:div w:id="324673210">
          <w:marLeft w:val="0"/>
          <w:marRight w:val="0"/>
          <w:marTop w:val="0"/>
          <w:marBottom w:val="0"/>
          <w:divBdr>
            <w:top w:val="none" w:sz="0" w:space="0" w:color="auto"/>
            <w:left w:val="none" w:sz="0" w:space="0" w:color="auto"/>
            <w:bottom w:val="none" w:sz="0" w:space="0" w:color="auto"/>
            <w:right w:val="none" w:sz="0" w:space="0" w:color="auto"/>
          </w:divBdr>
          <w:divsChild>
            <w:div w:id="1758283157">
              <w:marLeft w:val="0"/>
              <w:marRight w:val="0"/>
              <w:marTop w:val="0"/>
              <w:marBottom w:val="0"/>
              <w:divBdr>
                <w:top w:val="none" w:sz="0" w:space="0" w:color="auto"/>
                <w:left w:val="none" w:sz="0" w:space="0" w:color="auto"/>
                <w:bottom w:val="none" w:sz="0" w:space="0" w:color="auto"/>
                <w:right w:val="none" w:sz="0" w:space="0" w:color="auto"/>
              </w:divBdr>
              <w:divsChild>
                <w:div w:id="7395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950867">
      <w:bodyDiv w:val="1"/>
      <w:marLeft w:val="0"/>
      <w:marRight w:val="0"/>
      <w:marTop w:val="0"/>
      <w:marBottom w:val="0"/>
      <w:divBdr>
        <w:top w:val="none" w:sz="0" w:space="0" w:color="auto"/>
        <w:left w:val="none" w:sz="0" w:space="0" w:color="auto"/>
        <w:bottom w:val="none" w:sz="0" w:space="0" w:color="auto"/>
        <w:right w:val="none" w:sz="0" w:space="0" w:color="auto"/>
      </w:divBdr>
      <w:divsChild>
        <w:div w:id="2109546244">
          <w:marLeft w:val="0"/>
          <w:marRight w:val="0"/>
          <w:marTop w:val="0"/>
          <w:marBottom w:val="0"/>
          <w:divBdr>
            <w:top w:val="none" w:sz="0" w:space="0" w:color="auto"/>
            <w:left w:val="none" w:sz="0" w:space="0" w:color="auto"/>
            <w:bottom w:val="none" w:sz="0" w:space="0" w:color="auto"/>
            <w:right w:val="none" w:sz="0" w:space="0" w:color="auto"/>
          </w:divBdr>
          <w:divsChild>
            <w:div w:id="60099091">
              <w:marLeft w:val="0"/>
              <w:marRight w:val="0"/>
              <w:marTop w:val="0"/>
              <w:marBottom w:val="0"/>
              <w:divBdr>
                <w:top w:val="none" w:sz="0" w:space="0" w:color="auto"/>
                <w:left w:val="none" w:sz="0" w:space="0" w:color="auto"/>
                <w:bottom w:val="none" w:sz="0" w:space="0" w:color="auto"/>
                <w:right w:val="none" w:sz="0" w:space="0" w:color="auto"/>
              </w:divBdr>
              <w:divsChild>
                <w:div w:id="126950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11294">
      <w:bodyDiv w:val="1"/>
      <w:marLeft w:val="0"/>
      <w:marRight w:val="0"/>
      <w:marTop w:val="0"/>
      <w:marBottom w:val="0"/>
      <w:divBdr>
        <w:top w:val="none" w:sz="0" w:space="0" w:color="auto"/>
        <w:left w:val="none" w:sz="0" w:space="0" w:color="auto"/>
        <w:bottom w:val="none" w:sz="0" w:space="0" w:color="auto"/>
        <w:right w:val="none" w:sz="0" w:space="0" w:color="auto"/>
      </w:divBdr>
      <w:divsChild>
        <w:div w:id="1529954781">
          <w:marLeft w:val="0"/>
          <w:marRight w:val="0"/>
          <w:marTop w:val="0"/>
          <w:marBottom w:val="0"/>
          <w:divBdr>
            <w:top w:val="none" w:sz="0" w:space="0" w:color="auto"/>
            <w:left w:val="none" w:sz="0" w:space="0" w:color="auto"/>
            <w:bottom w:val="none" w:sz="0" w:space="0" w:color="auto"/>
            <w:right w:val="none" w:sz="0" w:space="0" w:color="auto"/>
          </w:divBdr>
          <w:divsChild>
            <w:div w:id="738677224">
              <w:marLeft w:val="0"/>
              <w:marRight w:val="0"/>
              <w:marTop w:val="0"/>
              <w:marBottom w:val="0"/>
              <w:divBdr>
                <w:top w:val="none" w:sz="0" w:space="0" w:color="auto"/>
                <w:left w:val="none" w:sz="0" w:space="0" w:color="auto"/>
                <w:bottom w:val="none" w:sz="0" w:space="0" w:color="auto"/>
                <w:right w:val="none" w:sz="0" w:space="0" w:color="auto"/>
              </w:divBdr>
              <w:divsChild>
                <w:div w:id="36551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89263">
      <w:bodyDiv w:val="1"/>
      <w:marLeft w:val="0"/>
      <w:marRight w:val="0"/>
      <w:marTop w:val="0"/>
      <w:marBottom w:val="0"/>
      <w:divBdr>
        <w:top w:val="none" w:sz="0" w:space="0" w:color="auto"/>
        <w:left w:val="none" w:sz="0" w:space="0" w:color="auto"/>
        <w:bottom w:val="none" w:sz="0" w:space="0" w:color="auto"/>
        <w:right w:val="none" w:sz="0" w:space="0" w:color="auto"/>
      </w:divBdr>
      <w:divsChild>
        <w:div w:id="256985152">
          <w:marLeft w:val="0"/>
          <w:marRight w:val="0"/>
          <w:marTop w:val="0"/>
          <w:marBottom w:val="0"/>
          <w:divBdr>
            <w:top w:val="none" w:sz="0" w:space="0" w:color="auto"/>
            <w:left w:val="none" w:sz="0" w:space="0" w:color="auto"/>
            <w:bottom w:val="none" w:sz="0" w:space="0" w:color="auto"/>
            <w:right w:val="none" w:sz="0" w:space="0" w:color="auto"/>
          </w:divBdr>
          <w:divsChild>
            <w:div w:id="2036038471">
              <w:marLeft w:val="0"/>
              <w:marRight w:val="0"/>
              <w:marTop w:val="0"/>
              <w:marBottom w:val="0"/>
              <w:divBdr>
                <w:top w:val="none" w:sz="0" w:space="0" w:color="auto"/>
                <w:left w:val="none" w:sz="0" w:space="0" w:color="auto"/>
                <w:bottom w:val="none" w:sz="0" w:space="0" w:color="auto"/>
                <w:right w:val="none" w:sz="0" w:space="0" w:color="auto"/>
              </w:divBdr>
              <w:divsChild>
                <w:div w:id="133715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47462">
      <w:bodyDiv w:val="1"/>
      <w:marLeft w:val="0"/>
      <w:marRight w:val="0"/>
      <w:marTop w:val="0"/>
      <w:marBottom w:val="0"/>
      <w:divBdr>
        <w:top w:val="none" w:sz="0" w:space="0" w:color="auto"/>
        <w:left w:val="none" w:sz="0" w:space="0" w:color="auto"/>
        <w:bottom w:val="none" w:sz="0" w:space="0" w:color="auto"/>
        <w:right w:val="none" w:sz="0" w:space="0" w:color="auto"/>
      </w:divBdr>
      <w:divsChild>
        <w:div w:id="1834835230">
          <w:marLeft w:val="0"/>
          <w:marRight w:val="0"/>
          <w:marTop w:val="0"/>
          <w:marBottom w:val="0"/>
          <w:divBdr>
            <w:top w:val="none" w:sz="0" w:space="0" w:color="auto"/>
            <w:left w:val="none" w:sz="0" w:space="0" w:color="auto"/>
            <w:bottom w:val="none" w:sz="0" w:space="0" w:color="auto"/>
            <w:right w:val="none" w:sz="0" w:space="0" w:color="auto"/>
          </w:divBdr>
          <w:divsChild>
            <w:div w:id="39599638">
              <w:marLeft w:val="0"/>
              <w:marRight w:val="0"/>
              <w:marTop w:val="0"/>
              <w:marBottom w:val="0"/>
              <w:divBdr>
                <w:top w:val="none" w:sz="0" w:space="0" w:color="auto"/>
                <w:left w:val="none" w:sz="0" w:space="0" w:color="auto"/>
                <w:bottom w:val="none" w:sz="0" w:space="0" w:color="auto"/>
                <w:right w:val="none" w:sz="0" w:space="0" w:color="auto"/>
              </w:divBdr>
              <w:divsChild>
                <w:div w:id="172105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572811">
      <w:bodyDiv w:val="1"/>
      <w:marLeft w:val="0"/>
      <w:marRight w:val="0"/>
      <w:marTop w:val="0"/>
      <w:marBottom w:val="0"/>
      <w:divBdr>
        <w:top w:val="none" w:sz="0" w:space="0" w:color="auto"/>
        <w:left w:val="none" w:sz="0" w:space="0" w:color="auto"/>
        <w:bottom w:val="none" w:sz="0" w:space="0" w:color="auto"/>
        <w:right w:val="none" w:sz="0" w:space="0" w:color="auto"/>
      </w:divBdr>
      <w:divsChild>
        <w:div w:id="1610972625">
          <w:marLeft w:val="0"/>
          <w:marRight w:val="0"/>
          <w:marTop w:val="0"/>
          <w:marBottom w:val="0"/>
          <w:divBdr>
            <w:top w:val="none" w:sz="0" w:space="0" w:color="auto"/>
            <w:left w:val="none" w:sz="0" w:space="0" w:color="auto"/>
            <w:bottom w:val="none" w:sz="0" w:space="0" w:color="auto"/>
            <w:right w:val="none" w:sz="0" w:space="0" w:color="auto"/>
          </w:divBdr>
          <w:divsChild>
            <w:div w:id="3214930">
              <w:marLeft w:val="0"/>
              <w:marRight w:val="0"/>
              <w:marTop w:val="0"/>
              <w:marBottom w:val="0"/>
              <w:divBdr>
                <w:top w:val="none" w:sz="0" w:space="0" w:color="auto"/>
                <w:left w:val="none" w:sz="0" w:space="0" w:color="auto"/>
                <w:bottom w:val="none" w:sz="0" w:space="0" w:color="auto"/>
                <w:right w:val="none" w:sz="0" w:space="0" w:color="auto"/>
              </w:divBdr>
              <w:divsChild>
                <w:div w:id="179721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69700">
      <w:bodyDiv w:val="1"/>
      <w:marLeft w:val="0"/>
      <w:marRight w:val="0"/>
      <w:marTop w:val="0"/>
      <w:marBottom w:val="0"/>
      <w:divBdr>
        <w:top w:val="none" w:sz="0" w:space="0" w:color="auto"/>
        <w:left w:val="none" w:sz="0" w:space="0" w:color="auto"/>
        <w:bottom w:val="none" w:sz="0" w:space="0" w:color="auto"/>
        <w:right w:val="none" w:sz="0" w:space="0" w:color="auto"/>
      </w:divBdr>
      <w:divsChild>
        <w:div w:id="303852161">
          <w:marLeft w:val="0"/>
          <w:marRight w:val="0"/>
          <w:marTop w:val="0"/>
          <w:marBottom w:val="0"/>
          <w:divBdr>
            <w:top w:val="none" w:sz="0" w:space="0" w:color="auto"/>
            <w:left w:val="none" w:sz="0" w:space="0" w:color="auto"/>
            <w:bottom w:val="none" w:sz="0" w:space="0" w:color="auto"/>
            <w:right w:val="none" w:sz="0" w:space="0" w:color="auto"/>
          </w:divBdr>
          <w:divsChild>
            <w:div w:id="716471572">
              <w:marLeft w:val="0"/>
              <w:marRight w:val="0"/>
              <w:marTop w:val="0"/>
              <w:marBottom w:val="0"/>
              <w:divBdr>
                <w:top w:val="none" w:sz="0" w:space="0" w:color="auto"/>
                <w:left w:val="none" w:sz="0" w:space="0" w:color="auto"/>
                <w:bottom w:val="none" w:sz="0" w:space="0" w:color="auto"/>
                <w:right w:val="none" w:sz="0" w:space="0" w:color="auto"/>
              </w:divBdr>
              <w:divsChild>
                <w:div w:id="6860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31427250">
      <w:bodyDiv w:val="1"/>
      <w:marLeft w:val="0"/>
      <w:marRight w:val="0"/>
      <w:marTop w:val="0"/>
      <w:marBottom w:val="0"/>
      <w:divBdr>
        <w:top w:val="none" w:sz="0" w:space="0" w:color="auto"/>
        <w:left w:val="none" w:sz="0" w:space="0" w:color="auto"/>
        <w:bottom w:val="none" w:sz="0" w:space="0" w:color="auto"/>
        <w:right w:val="none" w:sz="0" w:space="0" w:color="auto"/>
      </w:divBdr>
      <w:divsChild>
        <w:div w:id="1481655364">
          <w:marLeft w:val="0"/>
          <w:marRight w:val="0"/>
          <w:marTop w:val="0"/>
          <w:marBottom w:val="0"/>
          <w:divBdr>
            <w:top w:val="none" w:sz="0" w:space="0" w:color="auto"/>
            <w:left w:val="none" w:sz="0" w:space="0" w:color="auto"/>
            <w:bottom w:val="none" w:sz="0" w:space="0" w:color="auto"/>
            <w:right w:val="none" w:sz="0" w:space="0" w:color="auto"/>
          </w:divBdr>
          <w:divsChild>
            <w:div w:id="507672910">
              <w:marLeft w:val="0"/>
              <w:marRight w:val="0"/>
              <w:marTop w:val="0"/>
              <w:marBottom w:val="0"/>
              <w:divBdr>
                <w:top w:val="none" w:sz="0" w:space="0" w:color="auto"/>
                <w:left w:val="none" w:sz="0" w:space="0" w:color="auto"/>
                <w:bottom w:val="none" w:sz="0" w:space="0" w:color="auto"/>
                <w:right w:val="none" w:sz="0" w:space="0" w:color="auto"/>
              </w:divBdr>
              <w:divsChild>
                <w:div w:id="864485970">
                  <w:marLeft w:val="0"/>
                  <w:marRight w:val="0"/>
                  <w:marTop w:val="0"/>
                  <w:marBottom w:val="0"/>
                  <w:divBdr>
                    <w:top w:val="none" w:sz="0" w:space="0" w:color="auto"/>
                    <w:left w:val="none" w:sz="0" w:space="0" w:color="auto"/>
                    <w:bottom w:val="none" w:sz="0" w:space="0" w:color="auto"/>
                    <w:right w:val="none" w:sz="0" w:space="0" w:color="auto"/>
                  </w:divBdr>
                  <w:divsChild>
                    <w:div w:id="10355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16229587">
      <w:bodyDiv w:val="1"/>
      <w:marLeft w:val="0"/>
      <w:marRight w:val="0"/>
      <w:marTop w:val="0"/>
      <w:marBottom w:val="0"/>
      <w:divBdr>
        <w:top w:val="none" w:sz="0" w:space="0" w:color="auto"/>
        <w:left w:val="none" w:sz="0" w:space="0" w:color="auto"/>
        <w:bottom w:val="none" w:sz="0" w:space="0" w:color="auto"/>
        <w:right w:val="none" w:sz="0" w:space="0" w:color="auto"/>
      </w:divBdr>
      <w:divsChild>
        <w:div w:id="2143109798">
          <w:marLeft w:val="0"/>
          <w:marRight w:val="0"/>
          <w:marTop w:val="0"/>
          <w:marBottom w:val="0"/>
          <w:divBdr>
            <w:top w:val="none" w:sz="0" w:space="0" w:color="auto"/>
            <w:left w:val="none" w:sz="0" w:space="0" w:color="auto"/>
            <w:bottom w:val="none" w:sz="0" w:space="0" w:color="auto"/>
            <w:right w:val="none" w:sz="0" w:space="0" w:color="auto"/>
          </w:divBdr>
          <w:divsChild>
            <w:div w:id="1446190822">
              <w:marLeft w:val="0"/>
              <w:marRight w:val="0"/>
              <w:marTop w:val="0"/>
              <w:marBottom w:val="0"/>
              <w:divBdr>
                <w:top w:val="none" w:sz="0" w:space="0" w:color="auto"/>
                <w:left w:val="none" w:sz="0" w:space="0" w:color="auto"/>
                <w:bottom w:val="none" w:sz="0" w:space="0" w:color="auto"/>
                <w:right w:val="none" w:sz="0" w:space="0" w:color="auto"/>
              </w:divBdr>
              <w:divsChild>
                <w:div w:id="17119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380450">
      <w:bodyDiv w:val="1"/>
      <w:marLeft w:val="0"/>
      <w:marRight w:val="0"/>
      <w:marTop w:val="0"/>
      <w:marBottom w:val="0"/>
      <w:divBdr>
        <w:top w:val="none" w:sz="0" w:space="0" w:color="auto"/>
        <w:left w:val="none" w:sz="0" w:space="0" w:color="auto"/>
        <w:bottom w:val="none" w:sz="0" w:space="0" w:color="auto"/>
        <w:right w:val="none" w:sz="0" w:space="0" w:color="auto"/>
      </w:divBdr>
      <w:divsChild>
        <w:div w:id="554123592">
          <w:marLeft w:val="0"/>
          <w:marRight w:val="0"/>
          <w:marTop w:val="0"/>
          <w:marBottom w:val="0"/>
          <w:divBdr>
            <w:top w:val="none" w:sz="0" w:space="0" w:color="auto"/>
            <w:left w:val="none" w:sz="0" w:space="0" w:color="auto"/>
            <w:bottom w:val="none" w:sz="0" w:space="0" w:color="auto"/>
            <w:right w:val="none" w:sz="0" w:space="0" w:color="auto"/>
          </w:divBdr>
          <w:divsChild>
            <w:div w:id="323433219">
              <w:marLeft w:val="0"/>
              <w:marRight w:val="0"/>
              <w:marTop w:val="0"/>
              <w:marBottom w:val="0"/>
              <w:divBdr>
                <w:top w:val="none" w:sz="0" w:space="0" w:color="auto"/>
                <w:left w:val="none" w:sz="0" w:space="0" w:color="auto"/>
                <w:bottom w:val="none" w:sz="0" w:space="0" w:color="auto"/>
                <w:right w:val="none" w:sz="0" w:space="0" w:color="auto"/>
              </w:divBdr>
              <w:divsChild>
                <w:div w:id="1010255987">
                  <w:marLeft w:val="0"/>
                  <w:marRight w:val="0"/>
                  <w:marTop w:val="0"/>
                  <w:marBottom w:val="0"/>
                  <w:divBdr>
                    <w:top w:val="none" w:sz="0" w:space="0" w:color="auto"/>
                    <w:left w:val="none" w:sz="0" w:space="0" w:color="auto"/>
                    <w:bottom w:val="none" w:sz="0" w:space="0" w:color="auto"/>
                    <w:right w:val="none" w:sz="0" w:space="0" w:color="auto"/>
                  </w:divBdr>
                  <w:divsChild>
                    <w:div w:id="110299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73596">
      <w:bodyDiv w:val="1"/>
      <w:marLeft w:val="0"/>
      <w:marRight w:val="0"/>
      <w:marTop w:val="0"/>
      <w:marBottom w:val="0"/>
      <w:divBdr>
        <w:top w:val="none" w:sz="0" w:space="0" w:color="auto"/>
        <w:left w:val="none" w:sz="0" w:space="0" w:color="auto"/>
        <w:bottom w:val="none" w:sz="0" w:space="0" w:color="auto"/>
        <w:right w:val="none" w:sz="0" w:space="0" w:color="auto"/>
      </w:divBdr>
      <w:divsChild>
        <w:div w:id="1561091679">
          <w:marLeft w:val="0"/>
          <w:marRight w:val="0"/>
          <w:marTop w:val="0"/>
          <w:marBottom w:val="0"/>
          <w:divBdr>
            <w:top w:val="none" w:sz="0" w:space="0" w:color="auto"/>
            <w:left w:val="none" w:sz="0" w:space="0" w:color="auto"/>
            <w:bottom w:val="none" w:sz="0" w:space="0" w:color="auto"/>
            <w:right w:val="none" w:sz="0" w:space="0" w:color="auto"/>
          </w:divBdr>
          <w:divsChild>
            <w:div w:id="1086922837">
              <w:marLeft w:val="0"/>
              <w:marRight w:val="0"/>
              <w:marTop w:val="0"/>
              <w:marBottom w:val="0"/>
              <w:divBdr>
                <w:top w:val="none" w:sz="0" w:space="0" w:color="auto"/>
                <w:left w:val="none" w:sz="0" w:space="0" w:color="auto"/>
                <w:bottom w:val="none" w:sz="0" w:space="0" w:color="auto"/>
                <w:right w:val="none" w:sz="0" w:space="0" w:color="auto"/>
              </w:divBdr>
              <w:divsChild>
                <w:div w:id="10112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cq.org.uk/exams-office/access-arrangements-and-special-consideration/regulations-and-guidance" TargetMode="External"/><Relationship Id="rId18" Type="http://schemas.openxmlformats.org/officeDocument/2006/relationships/hyperlink" Target="http://www.jcq.org.uk/exams-office/access-arrangements-and-special-consideration/regulations-and-guidance"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jcq.org.uk/exams-office/access-arrangements-and-special-consideration/regulations-and-guidance" TargetMode="External"/><Relationship Id="rId7" Type="http://schemas.openxmlformats.org/officeDocument/2006/relationships/footnotes" Target="footnotes.xml"/><Relationship Id="rId12" Type="http://schemas.openxmlformats.org/officeDocument/2006/relationships/hyperlink" Target="http://www.jcq.org.uk/exams-office/access-arrangements-and-special-consideration/regulations-and-guidance" TargetMode="External"/><Relationship Id="rId17" Type="http://schemas.openxmlformats.org/officeDocument/2006/relationships/hyperlink" Target="http://www.jcq.org.uk/exams-office/access-arrangements-and-special-consideration/regulations-and-guidance"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jcq.org.uk/exams-office/access-arrangements-and-special-consideration/regulations-and-guidance" TargetMode="External"/><Relationship Id="rId20" Type="http://schemas.openxmlformats.org/officeDocument/2006/relationships/hyperlink" Target="http://www.jcq.org.uk/exams-office/access-arrangements-and-special-consideration/regulations-and-guidan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access-arrangements-and-special-consideration/regulations-and-guidance"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jcq.org.uk/exams-office/access-arrangements-and-special-consideration/regulations-and-guidance" TargetMode="External"/><Relationship Id="rId23" Type="http://schemas.openxmlformats.org/officeDocument/2006/relationships/hyperlink" Target="http://www.jcq.org.uk/exams-office/access-arrangements-and-special-consideration/regulations-and-guidance" TargetMode="External"/><Relationship Id="rId10" Type="http://schemas.openxmlformats.org/officeDocument/2006/relationships/hyperlink" Target="http://www.jcq.org.uk/exams-office/access-arrangements-and-special-consideration/regulations-and-guidance" TargetMode="External"/><Relationship Id="rId19" Type="http://schemas.openxmlformats.org/officeDocument/2006/relationships/hyperlink" Target="http://www.jcq.org.uk/exams-office/access-arrangements-and-special-consideration/regulations-and-guidanc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jcq.org.uk/exams-office/general-regulations" TargetMode="External"/><Relationship Id="rId22" Type="http://schemas.openxmlformats.org/officeDocument/2006/relationships/hyperlink" Target="http://www.jcq.org.uk/exams-office/access-arrangements-and-special-considera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228289-AFE2-47C9-B1F8-62125EC7C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2075</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2023-05-10T13:34:00Z</cp:lastPrinted>
  <dcterms:created xsi:type="dcterms:W3CDTF">2023-05-10T13:35:00Z</dcterms:created>
  <dcterms:modified xsi:type="dcterms:W3CDTF">2023-05-10T13:35:00Z</dcterms:modified>
</cp:coreProperties>
</file>