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324" w:rsidRPr="00A8795E" w:rsidRDefault="00675324" w:rsidP="00A8795E">
      <w:pPr>
        <w:jc w:val="both"/>
        <w:rPr>
          <w:rFonts w:ascii="Sylfaen" w:hAnsi="Sylfaen" w:cs="Tahoma"/>
          <w:b/>
        </w:rPr>
      </w:pPr>
      <w:bookmarkStart w:id="0" w:name="_GoBack"/>
      <w:bookmarkEnd w:id="0"/>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7E698E" w:rsidP="00A8795E">
      <w:pPr>
        <w:jc w:val="both"/>
        <w:rPr>
          <w:rFonts w:ascii="Sylfaen" w:hAnsi="Sylfaen" w:cs="Tahoma"/>
          <w:b/>
        </w:rPr>
      </w:pPr>
      <w:r w:rsidRPr="00A8795E">
        <w:rPr>
          <w:rFonts w:ascii="Sylfaen" w:hAnsi="Sylfaen" w:cs="Tahoma"/>
          <w:b/>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4445</wp:posOffset>
            </wp:positionV>
            <wp:extent cx="1530985" cy="1490345"/>
            <wp:effectExtent l="0" t="0" r="0" b="0"/>
            <wp:wrapTight wrapText="bothSides">
              <wp:wrapPolygon edited="0">
                <wp:start x="7257" y="0"/>
                <wp:lineTo x="5375" y="552"/>
                <wp:lineTo x="1075" y="3865"/>
                <wp:lineTo x="0" y="7731"/>
                <wp:lineTo x="0" y="8559"/>
                <wp:lineTo x="2419" y="9111"/>
                <wp:lineTo x="2419" y="12977"/>
                <wp:lineTo x="269" y="13529"/>
                <wp:lineTo x="0" y="13805"/>
                <wp:lineTo x="1881" y="17670"/>
                <wp:lineTo x="1881" y="18775"/>
                <wp:lineTo x="6988" y="21259"/>
                <wp:lineTo x="9138" y="21259"/>
                <wp:lineTo x="12095" y="21259"/>
                <wp:lineTo x="14245" y="21259"/>
                <wp:lineTo x="19620" y="18775"/>
                <wp:lineTo x="19351" y="17670"/>
                <wp:lineTo x="21233" y="14357"/>
                <wp:lineTo x="21233" y="13529"/>
                <wp:lineTo x="19083" y="12700"/>
                <wp:lineTo x="19083" y="9111"/>
                <wp:lineTo x="21233" y="8559"/>
                <wp:lineTo x="21233" y="7455"/>
                <wp:lineTo x="20426" y="3865"/>
                <wp:lineTo x="16126" y="828"/>
                <wp:lineTo x="13976" y="0"/>
                <wp:lineTo x="7257"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0985" cy="1490345"/>
                    </a:xfrm>
                    <a:prstGeom prst="rect">
                      <a:avLst/>
                    </a:prstGeom>
                  </pic:spPr>
                </pic:pic>
              </a:graphicData>
            </a:graphic>
            <wp14:sizeRelH relativeFrom="page">
              <wp14:pctWidth>0</wp14:pctWidth>
            </wp14:sizeRelH>
            <wp14:sizeRelV relativeFrom="page">
              <wp14:pctHeight>0</wp14:pctHeight>
            </wp14:sizeRelV>
          </wp:anchor>
        </w:drawing>
      </w: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675324" w:rsidP="00A8795E">
      <w:pPr>
        <w:jc w:val="both"/>
        <w:rPr>
          <w:rFonts w:ascii="Sylfaen" w:hAnsi="Sylfaen" w:cs="Tahoma"/>
          <w:b/>
        </w:rPr>
      </w:pPr>
    </w:p>
    <w:p w:rsidR="00675324" w:rsidRPr="00A8795E" w:rsidRDefault="007E698E" w:rsidP="00A8795E">
      <w:pPr>
        <w:spacing w:after="0"/>
        <w:jc w:val="center"/>
        <w:rPr>
          <w:rFonts w:ascii="Sylfaen" w:hAnsi="Sylfaen" w:cs="Tahoma"/>
          <w:b/>
          <w:sz w:val="36"/>
          <w:szCs w:val="36"/>
        </w:rPr>
      </w:pPr>
      <w:r w:rsidRPr="00A8795E">
        <w:rPr>
          <w:rFonts w:ascii="Sylfaen" w:hAnsi="Sylfaen" w:cs="Tahoma"/>
          <w:b/>
          <w:sz w:val="36"/>
          <w:szCs w:val="36"/>
        </w:rPr>
        <w:t>Conflicts of Interest Policy</w:t>
      </w:r>
    </w:p>
    <w:p w:rsidR="00675324" w:rsidRPr="00A8795E" w:rsidRDefault="007E698E" w:rsidP="00A8795E">
      <w:pPr>
        <w:spacing w:after="0"/>
        <w:jc w:val="center"/>
        <w:rPr>
          <w:rFonts w:ascii="Sylfaen" w:hAnsi="Sylfaen" w:cs="Tahoma"/>
          <w:b/>
          <w:sz w:val="36"/>
          <w:szCs w:val="36"/>
        </w:rPr>
      </w:pPr>
      <w:r w:rsidRPr="00A8795E">
        <w:rPr>
          <w:rFonts w:ascii="Sylfaen" w:hAnsi="Sylfaen" w:cs="Tahoma"/>
          <w:b/>
          <w:sz w:val="36"/>
          <w:szCs w:val="36"/>
        </w:rPr>
        <w:t>(Declaration Form and Register of Interests)</w:t>
      </w:r>
    </w:p>
    <w:p w:rsidR="00675324" w:rsidRDefault="00675324" w:rsidP="00A8795E">
      <w:pPr>
        <w:jc w:val="both"/>
        <w:rPr>
          <w:rFonts w:ascii="Sylfaen" w:hAnsi="Sylfaen" w:cs="Tahoma"/>
          <w:b/>
          <w:u w:val="single"/>
        </w:rPr>
      </w:pPr>
    </w:p>
    <w:p w:rsidR="00A8795E" w:rsidRDefault="00A8795E" w:rsidP="00A8795E">
      <w:pPr>
        <w:jc w:val="both"/>
        <w:rPr>
          <w:rFonts w:ascii="Sylfaen" w:hAnsi="Sylfaen" w:cs="Tahoma"/>
          <w:b/>
          <w:u w:val="single"/>
        </w:rPr>
      </w:pPr>
    </w:p>
    <w:p w:rsidR="00A8795E" w:rsidRDefault="00A8795E" w:rsidP="00A8795E">
      <w:pPr>
        <w:jc w:val="both"/>
        <w:rPr>
          <w:rFonts w:ascii="Sylfaen" w:hAnsi="Sylfaen" w:cs="Tahoma"/>
          <w:b/>
          <w:u w:val="single"/>
        </w:rPr>
      </w:pPr>
    </w:p>
    <w:p w:rsidR="00A8795E" w:rsidRDefault="00A8795E" w:rsidP="00A8795E">
      <w:pPr>
        <w:jc w:val="both"/>
        <w:rPr>
          <w:rFonts w:ascii="Sylfaen" w:hAnsi="Sylfaen" w:cs="Tahoma"/>
          <w:b/>
          <w:u w:val="single"/>
        </w:rPr>
      </w:pPr>
    </w:p>
    <w:p w:rsidR="00A8795E" w:rsidRPr="00A8795E" w:rsidRDefault="00A8795E" w:rsidP="00A8795E">
      <w:pPr>
        <w:jc w:val="both"/>
        <w:rPr>
          <w:rFonts w:ascii="Sylfaen" w:hAnsi="Sylfaen" w:cs="Tahoma"/>
          <w:b/>
          <w:u w:val="single"/>
        </w:rPr>
      </w:pPr>
    </w:p>
    <w:p w:rsidR="00A8795E" w:rsidRDefault="00A8795E" w:rsidP="00A8795E">
      <w:pPr>
        <w:pStyle w:val="BodyText"/>
        <w:rPr>
          <w:rFonts w:ascii="Sylfaen" w:hAnsi="Sylfaen" w:cs="Tahoma"/>
          <w:szCs w:val="20"/>
        </w:rPr>
      </w:pPr>
    </w:p>
    <w:p w:rsidR="00A8795E" w:rsidRPr="007E698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r w:rsidRPr="007E698E">
        <w:rPr>
          <w:rFonts w:ascii="Sylfaen" w:hAnsi="Sylfaen" w:cs="Tahoma"/>
          <w:b/>
          <w:bCs/>
          <w:color w:val="auto"/>
          <w:sz w:val="22"/>
          <w:szCs w:val="22"/>
        </w:rPr>
        <w:t>THIS IS A STATUTORY POLICY which is based on a template from The Key and must be published on the Trust website</w:t>
      </w:r>
    </w:p>
    <w:p w:rsidR="00A8795E" w:rsidRPr="007E698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2"/>
          <w:szCs w:val="22"/>
        </w:rPr>
      </w:pPr>
      <w:r w:rsidRPr="007E698E">
        <w:rPr>
          <w:rFonts w:ascii="Sylfaen" w:hAnsi="Sylfaen" w:cs="Tahoma"/>
          <w:b/>
          <w:bCs/>
          <w:color w:val="auto"/>
          <w:sz w:val="22"/>
          <w:szCs w:val="22"/>
        </w:rPr>
        <w:t xml:space="preserve"> </w:t>
      </w:r>
    </w:p>
    <w:p w:rsidR="00A8795E" w:rsidRPr="007E698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r w:rsidRPr="007E698E">
        <w:rPr>
          <w:rFonts w:ascii="Sylfaen" w:hAnsi="Sylfaen" w:cs="Tahoma"/>
          <w:b/>
          <w:bCs/>
          <w:color w:val="auto"/>
          <w:sz w:val="22"/>
          <w:szCs w:val="22"/>
        </w:rPr>
        <w:t xml:space="preserve">This policy was reviewed in </w:t>
      </w:r>
      <w:r w:rsidR="00EE6B67">
        <w:rPr>
          <w:rFonts w:ascii="Sylfaen" w:hAnsi="Sylfaen" w:cs="Tahoma"/>
          <w:b/>
          <w:bCs/>
          <w:color w:val="auto"/>
          <w:sz w:val="22"/>
          <w:szCs w:val="22"/>
        </w:rPr>
        <w:t>March 2025</w:t>
      </w:r>
    </w:p>
    <w:p w:rsidR="00A8795E" w:rsidRPr="007E698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2"/>
          <w:szCs w:val="22"/>
        </w:rPr>
      </w:pPr>
    </w:p>
    <w:p w:rsidR="00A8795E" w:rsidRPr="007E698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r w:rsidRPr="007E698E">
        <w:rPr>
          <w:rFonts w:ascii="Sylfaen" w:hAnsi="Sylfaen" w:cs="Tahoma"/>
          <w:b/>
          <w:bCs/>
          <w:color w:val="auto"/>
          <w:sz w:val="22"/>
          <w:szCs w:val="22"/>
        </w:rPr>
        <w:t xml:space="preserve">It was ratified by the Trust Board on </w:t>
      </w:r>
      <w:r w:rsidR="00EE6B67">
        <w:rPr>
          <w:rFonts w:ascii="Sylfaen" w:hAnsi="Sylfaen" w:cs="Tahoma"/>
          <w:b/>
          <w:bCs/>
          <w:color w:val="auto"/>
          <w:sz w:val="22"/>
          <w:szCs w:val="22"/>
        </w:rPr>
        <w:t>14</w:t>
      </w:r>
      <w:r w:rsidR="00EE6B67" w:rsidRPr="00EE6B67">
        <w:rPr>
          <w:rFonts w:ascii="Sylfaen" w:hAnsi="Sylfaen" w:cs="Tahoma"/>
          <w:b/>
          <w:bCs/>
          <w:color w:val="auto"/>
          <w:sz w:val="22"/>
          <w:szCs w:val="22"/>
          <w:vertAlign w:val="superscript"/>
        </w:rPr>
        <w:t>th</w:t>
      </w:r>
      <w:r w:rsidR="00EE6B67">
        <w:rPr>
          <w:rFonts w:ascii="Sylfaen" w:hAnsi="Sylfaen" w:cs="Tahoma"/>
          <w:b/>
          <w:bCs/>
          <w:color w:val="auto"/>
          <w:sz w:val="22"/>
          <w:szCs w:val="22"/>
        </w:rPr>
        <w:t xml:space="preserve"> May 2025</w:t>
      </w:r>
    </w:p>
    <w:p w:rsidR="00A8795E" w:rsidRPr="007E698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p>
    <w:p w:rsidR="00A8795E" w:rsidRPr="007E698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b/>
          <w:bCs/>
          <w:color w:val="auto"/>
          <w:sz w:val="22"/>
          <w:szCs w:val="22"/>
        </w:rPr>
      </w:pPr>
      <w:r w:rsidRPr="007E698E">
        <w:rPr>
          <w:rFonts w:ascii="Sylfaen" w:hAnsi="Sylfaen" w:cs="Tahoma"/>
          <w:b/>
          <w:bCs/>
          <w:color w:val="auto"/>
          <w:sz w:val="22"/>
          <w:szCs w:val="22"/>
        </w:rPr>
        <w:t>REVIEW: This policy will be reviewed annually</w:t>
      </w:r>
    </w:p>
    <w:p w:rsidR="00A8795E" w:rsidRDefault="00A8795E" w:rsidP="00A8795E">
      <w:pPr>
        <w:pStyle w:val="Default"/>
        <w:pBdr>
          <w:top w:val="single" w:sz="4" w:space="1" w:color="auto"/>
          <w:left w:val="single" w:sz="4" w:space="4" w:color="auto"/>
          <w:bottom w:val="single" w:sz="4" w:space="1" w:color="auto"/>
          <w:right w:val="single" w:sz="4" w:space="31" w:color="auto"/>
        </w:pBdr>
        <w:jc w:val="both"/>
        <w:rPr>
          <w:rFonts w:ascii="Sylfaen" w:hAnsi="Sylfaen" w:cs="Tahoma"/>
          <w:color w:val="auto"/>
          <w:sz w:val="20"/>
          <w:szCs w:val="20"/>
        </w:rPr>
      </w:pPr>
    </w:p>
    <w:p w:rsidR="00675324" w:rsidRPr="00A8795E" w:rsidRDefault="00A8795E" w:rsidP="00A8795E">
      <w:pPr>
        <w:jc w:val="both"/>
        <w:rPr>
          <w:rFonts w:ascii="Sylfaen" w:hAnsi="Sylfaen" w:cs="Tahoma"/>
          <w:b/>
          <w:u w:val="single"/>
        </w:rPr>
      </w:pPr>
      <w:r>
        <w:rPr>
          <w:rFonts w:ascii="Sylfaen" w:hAnsi="Sylfaen" w:cs="Arial"/>
          <w:color w:val="333333"/>
          <w:szCs w:val="20"/>
          <w:lang w:eastAsia="en-GB"/>
        </w:rPr>
        <w:br w:type="page"/>
      </w:r>
    </w:p>
    <w:p w:rsidR="00675324" w:rsidRPr="00A8795E" w:rsidRDefault="007E698E" w:rsidP="00A8795E">
      <w:pPr>
        <w:spacing w:after="0"/>
        <w:jc w:val="both"/>
        <w:rPr>
          <w:rFonts w:ascii="Sylfaen" w:hAnsi="Sylfaen" w:cs="Tahoma"/>
          <w:b/>
          <w:u w:val="single"/>
        </w:rPr>
      </w:pPr>
      <w:r w:rsidRPr="00A8795E">
        <w:rPr>
          <w:rFonts w:ascii="Sylfaen" w:hAnsi="Sylfaen" w:cs="Tahoma"/>
          <w:b/>
          <w:u w:val="single"/>
        </w:rPr>
        <w:lastRenderedPageBreak/>
        <w:t>Contents:</w:t>
      </w:r>
    </w:p>
    <w:p w:rsidR="00675324" w:rsidRPr="00A8795E" w:rsidRDefault="007E698E" w:rsidP="00A8795E">
      <w:pPr>
        <w:spacing w:after="0"/>
        <w:jc w:val="both"/>
        <w:rPr>
          <w:rFonts w:ascii="Sylfaen" w:hAnsi="Sylfaen" w:cs="Tahoma"/>
        </w:rPr>
      </w:pPr>
      <w:r w:rsidRPr="00A8795E">
        <w:rPr>
          <w:rFonts w:ascii="Sylfaen" w:hAnsi="Sylfaen" w:cs="Tahoma"/>
        </w:rPr>
        <w:t>Introduction</w:t>
      </w:r>
    </w:p>
    <w:p w:rsidR="00675324" w:rsidRPr="00A8795E" w:rsidRDefault="007E698E" w:rsidP="00A8795E">
      <w:pPr>
        <w:spacing w:after="0"/>
        <w:jc w:val="both"/>
        <w:rPr>
          <w:rFonts w:ascii="Sylfaen" w:hAnsi="Sylfaen" w:cs="Tahoma"/>
        </w:rPr>
      </w:pPr>
      <w:r w:rsidRPr="00A8795E">
        <w:rPr>
          <w:rFonts w:ascii="Sylfaen" w:hAnsi="Sylfaen" w:cs="Tahoma"/>
        </w:rPr>
        <w:t>Overall Purpose</w:t>
      </w:r>
    </w:p>
    <w:p w:rsidR="00675324" w:rsidRPr="00A8795E" w:rsidRDefault="007E698E" w:rsidP="00A8795E">
      <w:pPr>
        <w:spacing w:after="0"/>
        <w:jc w:val="both"/>
        <w:rPr>
          <w:rFonts w:ascii="Sylfaen" w:hAnsi="Sylfaen" w:cs="Tahoma"/>
        </w:rPr>
      </w:pPr>
      <w:r w:rsidRPr="00A8795E">
        <w:rPr>
          <w:rFonts w:ascii="Sylfaen" w:hAnsi="Sylfaen" w:cs="Tahoma"/>
        </w:rPr>
        <w:t>Specimen conflicts of interest policy</w:t>
      </w:r>
    </w:p>
    <w:p w:rsidR="00A8795E" w:rsidRDefault="00A8795E" w:rsidP="00A8795E">
      <w:pPr>
        <w:autoSpaceDE w:val="0"/>
        <w:autoSpaceDN w:val="0"/>
        <w:adjustRightInd w:val="0"/>
        <w:spacing w:after="0" w:line="240" w:lineRule="auto"/>
        <w:jc w:val="both"/>
        <w:rPr>
          <w:rFonts w:ascii="Sylfaen" w:hAnsi="Sylfaen" w:cs="Tahoma"/>
          <w:b/>
          <w:bCs/>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Introduction</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This guidance note covers registered charities in England and Wales. Although principles</w:t>
      </w:r>
      <w:r w:rsidR="00A8795E">
        <w:rPr>
          <w:rFonts w:ascii="Sylfaen" w:hAnsi="Sylfaen" w:cs="Tahoma"/>
        </w:rPr>
        <w:t xml:space="preserve"> </w:t>
      </w:r>
      <w:r w:rsidRPr="00A8795E">
        <w:rPr>
          <w:rFonts w:ascii="Sylfaen" w:hAnsi="Sylfaen" w:cs="Tahoma"/>
        </w:rPr>
        <w:t>of good governance transcend national borders, it is important to bear in mind the specific differences in charity legislation for those charities operating in Scotland, Northern Ireland, and elsewhere.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information in this document consolidates and expands upon the principles highlighted in the Charity Governance Code. The Code recommends that a charity’s board understands how real and perceived conflicts of interests and of loyalty can affect both the organisation’s performance and reputation and establish a regularly reviewed conflicts of interest policy.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Code highlights the need to be aware of the importance of the public’s confidence and trust in charities and that they and those representing the charity undertake their duties accordingly, being seen to act with integrity. In safeguarding their charity’s reputation, they, by extension, promote confidence in the wider sector.</w:t>
      </w:r>
    </w:p>
    <w:p w:rsidR="00675324" w:rsidRPr="00A8795E" w:rsidRDefault="00675324" w:rsidP="00A8795E">
      <w:pPr>
        <w:autoSpaceDE w:val="0"/>
        <w:autoSpaceDN w:val="0"/>
        <w:adjustRightInd w:val="0"/>
        <w:spacing w:after="0" w:line="240" w:lineRule="auto"/>
        <w:jc w:val="both"/>
        <w:rPr>
          <w:rFonts w:ascii="Sylfaen" w:hAnsi="Sylfaen" w:cs="Tahoma"/>
          <w:b/>
          <w:bCs/>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Overall purpose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Being involved in governance within an academy Trust is a serious duty, there are various positive aspects to it that can help an individual on a personal and professional basis:</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knowledge that you are contributing to a worthwhile cause;</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Building self-confidence;</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Experience of committee work;</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Acquiring new skills – personal and professional – through training and information Sharing; and</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enjoyment to be had from working with a group of individuals from different backgrounds who share a similar passion for a particular cause.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roles can offer considerable satisfaction, challenges and experiences, but it should not be forgotten that the position can be quite onerous and require a significant time commitment.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aim of this note is to provide charities with guidance on how to recognise and manage real and perceived conflicts of interest amongst board members. It offers a generic model document that can be amended to suit the needs of individual organisations, while addressing the fundamental issues that arise from real and perceived conflicts of interest.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It should be noted that the benefit derived by those who are users of the charity’s services should not be over and above that received by any other user or beneficiary of the charity.</w:t>
      </w:r>
    </w:p>
    <w:p w:rsidR="00675324" w:rsidRPr="00A8795E" w:rsidRDefault="00675324" w:rsidP="00A8795E">
      <w:pPr>
        <w:spacing w:after="0"/>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What is a conflict of interest?</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Board Members have a duty under common law to act in the best interests of the charity they serve and generally, should not benefit from the charity and should not be influenced by their wider interests when making decisions affecting the charity. For charitable companies, board members have a legal duty to avoid conflicts of interest under section 175 of the Companies Act 2006.</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 conflict of interest can be defined as: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‘…any situation in which a personal interests or responsibilities they owe to another body, may, or may appear to influence the trustee’s decision making.’</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Conflicts of interest arise when the interests of board members, or ‘connected persons’, are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incompatible or in competition with the interests of the charity. Such situations present a risk that trustees will make decisions based on these external influences, rather than the best interests of the charity.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most common types of conflict include:</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Direct financial interest – when a trustee obtains a direct financial benefit via:</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payment of a salary to a trustee by the charity;</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award of a contract to a company with which a trustee is involved; or</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sale of property at below market value to a trustee.</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Indirect financial interest – this arises when a close relative of a trustee benefits from</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charity. For example:</w:t>
      </w:r>
    </w:p>
    <w:p w:rsidR="00675324" w:rsidRPr="00A8795E" w:rsidRDefault="007E698E" w:rsidP="00A8795E">
      <w:pPr>
        <w:pStyle w:val="ListParagraph"/>
        <w:numPr>
          <w:ilvl w:val="0"/>
          <w:numId w:val="4"/>
        </w:numPr>
        <w:autoSpaceDE w:val="0"/>
        <w:autoSpaceDN w:val="0"/>
        <w:adjustRightInd w:val="0"/>
        <w:spacing w:after="0" w:line="240" w:lineRule="auto"/>
        <w:jc w:val="both"/>
        <w:rPr>
          <w:rFonts w:ascii="Sylfaen" w:hAnsi="Sylfaen" w:cs="Tahoma"/>
        </w:rPr>
      </w:pPr>
      <w:r w:rsidRPr="00A8795E">
        <w:rPr>
          <w:rFonts w:ascii="Sylfaen" w:hAnsi="Sylfaen" w:cs="Tahoma"/>
        </w:rPr>
        <w:t>The awarding of an employment contract to a person connected to the trustee; or</w:t>
      </w:r>
    </w:p>
    <w:p w:rsidR="00675324" w:rsidRPr="00A8795E" w:rsidRDefault="007E698E" w:rsidP="00A8795E">
      <w:pPr>
        <w:pStyle w:val="ListParagraph"/>
        <w:numPr>
          <w:ilvl w:val="0"/>
          <w:numId w:val="4"/>
        </w:numPr>
        <w:autoSpaceDE w:val="0"/>
        <w:autoSpaceDN w:val="0"/>
        <w:adjustRightInd w:val="0"/>
        <w:spacing w:after="0" w:line="240" w:lineRule="auto"/>
        <w:jc w:val="both"/>
        <w:rPr>
          <w:rFonts w:ascii="Sylfaen" w:hAnsi="Sylfaen" w:cs="Tahoma"/>
        </w:rPr>
      </w:pPr>
      <w:r w:rsidRPr="00A8795E">
        <w:rPr>
          <w:rFonts w:ascii="Sylfaen" w:hAnsi="Sylfaen" w:cs="Tahoma"/>
        </w:rPr>
        <w:t>Making a grant to a person connected to the trustee.</w:t>
      </w:r>
    </w:p>
    <w:p w:rsidR="00675324" w:rsidRPr="00A8795E" w:rsidRDefault="007E698E" w:rsidP="00A8795E">
      <w:pPr>
        <w:pStyle w:val="ListParagraph"/>
        <w:numPr>
          <w:ilvl w:val="0"/>
          <w:numId w:val="5"/>
        </w:numPr>
        <w:autoSpaceDE w:val="0"/>
        <w:autoSpaceDN w:val="0"/>
        <w:adjustRightInd w:val="0"/>
        <w:spacing w:after="0" w:line="240" w:lineRule="auto"/>
        <w:jc w:val="both"/>
        <w:rPr>
          <w:rFonts w:ascii="Sylfaen" w:hAnsi="Sylfaen" w:cs="Tahoma"/>
        </w:rPr>
      </w:pPr>
      <w:r w:rsidRPr="00A8795E">
        <w:rPr>
          <w:rFonts w:ascii="Sylfaen" w:hAnsi="Sylfaen" w:cs="Tahoma"/>
        </w:rPr>
        <w:t>Non-financial or personal conflicts – occur where trustees receive no financial benefit,</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But are influenced by external factors:</w:t>
      </w:r>
    </w:p>
    <w:p w:rsidR="00675324" w:rsidRPr="00A8795E" w:rsidRDefault="007E698E" w:rsidP="00A8795E">
      <w:pPr>
        <w:pStyle w:val="ListParagraph"/>
        <w:numPr>
          <w:ilvl w:val="0"/>
          <w:numId w:val="4"/>
        </w:numPr>
        <w:autoSpaceDE w:val="0"/>
        <w:autoSpaceDN w:val="0"/>
        <w:adjustRightInd w:val="0"/>
        <w:spacing w:after="0" w:line="240" w:lineRule="auto"/>
        <w:jc w:val="both"/>
        <w:rPr>
          <w:rFonts w:ascii="Sylfaen" w:hAnsi="Sylfaen" w:cs="Tahoma"/>
        </w:rPr>
      </w:pPr>
      <w:r w:rsidRPr="00A8795E">
        <w:rPr>
          <w:rFonts w:ascii="Sylfaen" w:hAnsi="Sylfaen" w:cs="Tahoma"/>
        </w:rPr>
        <w:t>Influencing board decisions on service provision to their own advantage, perhaps because they use the charity’s service themselves or care for someone who does;</w:t>
      </w:r>
    </w:p>
    <w:p w:rsidR="00675324" w:rsidRPr="00A8795E" w:rsidRDefault="007E698E" w:rsidP="00A8795E">
      <w:pPr>
        <w:pStyle w:val="ListParagraph"/>
        <w:numPr>
          <w:ilvl w:val="0"/>
          <w:numId w:val="4"/>
        </w:numPr>
        <w:autoSpaceDE w:val="0"/>
        <w:autoSpaceDN w:val="0"/>
        <w:adjustRightInd w:val="0"/>
        <w:spacing w:after="0" w:line="240" w:lineRule="auto"/>
        <w:jc w:val="both"/>
        <w:rPr>
          <w:rFonts w:ascii="Sylfaen" w:hAnsi="Sylfaen" w:cs="Tahoma"/>
        </w:rPr>
      </w:pPr>
      <w:r w:rsidRPr="00A8795E">
        <w:rPr>
          <w:rFonts w:ascii="Sylfaen" w:hAnsi="Sylfaen" w:cs="Tahoma"/>
        </w:rPr>
        <w:t>To gain some other intangible benefit or kudos; or</w:t>
      </w:r>
    </w:p>
    <w:p w:rsidR="00675324" w:rsidRPr="00A8795E" w:rsidRDefault="007E698E" w:rsidP="00A8795E">
      <w:pPr>
        <w:pStyle w:val="ListParagraph"/>
        <w:numPr>
          <w:ilvl w:val="0"/>
          <w:numId w:val="4"/>
        </w:numPr>
        <w:autoSpaceDE w:val="0"/>
        <w:autoSpaceDN w:val="0"/>
        <w:adjustRightInd w:val="0"/>
        <w:spacing w:after="0" w:line="240" w:lineRule="auto"/>
        <w:jc w:val="both"/>
        <w:rPr>
          <w:rFonts w:ascii="Sylfaen" w:hAnsi="Sylfaen" w:cs="Tahoma"/>
        </w:rPr>
      </w:pPr>
      <w:r w:rsidRPr="00A8795E">
        <w:rPr>
          <w:rFonts w:ascii="Sylfaen" w:hAnsi="Sylfaen" w:cs="Tahoma"/>
        </w:rPr>
        <w:t>Awarding contracts to friends.</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Conflicts of loyalties – trustees may have competing loyalties between the charity to</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Which they owe a primary duty and some other person or entity.</w:t>
      </w:r>
    </w:p>
    <w:p w:rsidR="00675324" w:rsidRPr="00A8795E" w:rsidRDefault="00675324" w:rsidP="00A8795E">
      <w:pPr>
        <w:pStyle w:val="ListParagraph"/>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It is, therefore, essential that all board members are fully aware of their duties and responsibilities and that when acting as a trustee they must act in the best interests of the charity alone.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interests of the beneficiaries and those of the charity will – for the most part – be consistent or complementary, but on the occasions where a conflict does arise, the responsibility of all the board members is to the charity. This includes any access that all board members may gain to confidential or privileged information by virtue. All board members should remain alert to the fact that whatever information they acquire in their role should remain confidential and not be used to the advantage of themselves, an external individual, or entity.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Occasionally there may be cases where an apparent conflict is actually in the organisation’s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best interests. While the board members may well act with integrity, the mere appearance of a conflict can be damaging to both the charity and the board members, so conflicts need to be managed effectively. When considering how a situation may be perceived, a simple rule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of thumb might be to ask: how could this be portrayed in the media?</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Where a charity operates a code of conduct, it is essential that the document is consistent with and supports the conflicts of interest policy and vice versa.</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lastRenderedPageBreak/>
        <w:t>Identifying potential conflicts of interest</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By asking board members to declare their interests and keeping a register of such interests,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organisations can monitor potential conflicts of interests on a continuous basis. A policy on the management of conflicts of interest will inform board members how any conflict will be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dealt with and provide a framework for the board when conflicts arise.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 key means of preventing conflicts of interest from affecting decision making is to identify potential conflicts in advance. This gives board members time to consider the implications and to respond appropriately. To ensure that board members remain in an optimal position to manage any real or perceived conflict, it should be standard practice to ask for any such</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declarations at the start of each meeting.</w:t>
      </w:r>
    </w:p>
    <w:p w:rsidR="00675324" w:rsidRPr="00A8795E" w:rsidRDefault="00675324" w:rsidP="00A8795E">
      <w:pPr>
        <w:autoSpaceDE w:val="0"/>
        <w:autoSpaceDN w:val="0"/>
        <w:adjustRightInd w:val="0"/>
        <w:spacing w:after="0" w:line="240" w:lineRule="auto"/>
        <w:jc w:val="both"/>
        <w:rPr>
          <w:rFonts w:ascii="Sylfaen" w:hAnsi="Sylfaen" w:cs="Tahoma"/>
          <w:b/>
          <w:bCs/>
          <w:color w:val="000066"/>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b/>
          <w:bCs/>
        </w:rPr>
        <w:t>Managing conflicts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majority of board members have a multiplicity of interests, personal, domestic and professional that may, on occasion, compete with those of the charity. It is almost impossible to avoid conflicts altogether, particularly in the context of charities seeking to appoint board members with skills and experience gained in the wider economic community.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conflicts cannot be avoided, they need to be managed effectively. Organisations should consider developing a policy relating to conflicts of interest and implementing it consistently and transparently.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Declaration of interests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Potential and new board members should be informed that they will be expected to declare their interests on appointment and subsequently, when they arise. They should also be provided with a copy of the conflicts of interest policy, preferably before appointment. If the potential board member is concerned about a possible conflict of interest, they should view the policy and discuss the matter with the charity secretary/governance professional before agreeing to take up the position.</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On appointment, board members should be asked to complete a declaration of interests. New</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Board members may be uncertain as to what comes under this heading (in which case they</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should consult the charity secretary/governance professional), but as they gain more experience on the board, their understanding of exactly what constitutes a potential conflict will develop. The declaration of interests needs to be updated when material changes occur, and reviewed on a regular basis – at least annually.</w:t>
      </w:r>
    </w:p>
    <w:p w:rsidR="00675324" w:rsidRPr="00A8795E" w:rsidRDefault="00675324" w:rsidP="00A8795E">
      <w:pPr>
        <w:autoSpaceDE w:val="0"/>
        <w:autoSpaceDN w:val="0"/>
        <w:adjustRightInd w:val="0"/>
        <w:spacing w:after="0" w:line="240" w:lineRule="auto"/>
        <w:jc w:val="both"/>
        <w:rPr>
          <w:rFonts w:ascii="Sylfaen" w:hAnsi="Sylfaen" w:cs="Tahoma"/>
          <w:color w:val="000066"/>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When asking trustees to complete a declaration of interests, the following areas should be considered:</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Employment;</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Any previous employment in which the board member still has a financial, or other, interest;</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Any other appointments (voluntary or otherwise) e.g. Trusteeships, directorships, local Authority membership, tribunals;</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Professional and organisational membership;</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Membership of any special interest groups;</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Investments in unlisted companies, partnerships and other forms of business;</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Major shareholdings (charities may set a figure here, e.g. More than 1% or 5% of Issued capital) and beneficial interests;</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lastRenderedPageBreak/>
        <w:t>Gifts or hospitality offered to the board member by external bodies and whether these were declined or accepted;</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Family connections where relevant, such as the board members’ spouse/partner working for a similar organisation or a funder;</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Using, or caring for a user of, the organisation’s services; and</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 xml:space="preserve">Any contractual relationship between the board member or a connected person and the charity or its subsidiary. </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level of detail required in the register may depend on:</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size and culture of the organisation;</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likelihood of a conflict arising; and</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The potential damage that could be caused by a conflict.</w:t>
      </w:r>
    </w:p>
    <w:p w:rsidR="00A8795E" w:rsidRDefault="00A8795E"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All charities and not-for-profit organisations are accountable to a range of stakeholders and should consider conflicts of interest carefully. Those working in sensitive areas, involved with large sums of money, or subject to a high level of scrutiny, may need to be extra vigilant. Organisations will need to find a balance between accountability and unwarranted intrusion into the affairs of their board members.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Register of interests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completed declarations should be returned to the Company Secretary, who will be responsible for keeping the register of interests up to date. A model register can be found below.</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Charities will need to consider whether the register of interests is kept as a confidential document, to be maintained and monitored by the Company Secretary and accessible only to the Chair and Executive Head; or whether to allow greater access. Public access to the register would further the interests of accountability and transparency, as well as demonstrating that the charity is following good practice in relation to managing conflicts of interest.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There may be sections of the declaration, or levels of detail within certain sections, which the board members decide to keep confidential. For example, board members of a women’s refuge may wish to keep their home or business addresses confidential. A requirement that the whole register be publicly available may serve as a disincentive to individuals joining the board, or declaring their full range of interests. </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Possible compromises include:</w:t>
      </w:r>
    </w:p>
    <w:p w:rsidR="00675324" w:rsidRPr="00A8795E" w:rsidRDefault="007E698E" w:rsidP="00A8795E">
      <w:pPr>
        <w:pStyle w:val="ListParagraph"/>
        <w:numPr>
          <w:ilvl w:val="0"/>
          <w:numId w:val="2"/>
        </w:numPr>
        <w:autoSpaceDE w:val="0"/>
        <w:autoSpaceDN w:val="0"/>
        <w:adjustRightInd w:val="0"/>
        <w:spacing w:after="0" w:line="240" w:lineRule="auto"/>
        <w:jc w:val="both"/>
        <w:rPr>
          <w:rFonts w:ascii="Sylfaen" w:hAnsi="Sylfaen" w:cs="Tahoma"/>
        </w:rPr>
      </w:pPr>
      <w:r w:rsidRPr="00A8795E">
        <w:rPr>
          <w:rFonts w:ascii="Sylfaen" w:hAnsi="Sylfaen" w:cs="Tahoma"/>
        </w:rPr>
        <w:t>Arranging for some sections of the register to be publicly available, while maintaining the confidentiality of other sections;</w:t>
      </w:r>
    </w:p>
    <w:p w:rsidR="00675324" w:rsidRPr="00A8795E" w:rsidRDefault="007E698E" w:rsidP="007E698E">
      <w:pPr>
        <w:pStyle w:val="ListParagraph"/>
        <w:numPr>
          <w:ilvl w:val="0"/>
          <w:numId w:val="7"/>
        </w:numPr>
        <w:autoSpaceDE w:val="0"/>
        <w:autoSpaceDN w:val="0"/>
        <w:adjustRightInd w:val="0"/>
        <w:spacing w:after="0" w:line="240" w:lineRule="auto"/>
        <w:ind w:left="502"/>
        <w:jc w:val="both"/>
        <w:rPr>
          <w:rFonts w:ascii="Sylfaen" w:hAnsi="Sylfaen" w:cs="Tahoma"/>
        </w:rPr>
      </w:pPr>
      <w:r w:rsidRPr="00A8795E">
        <w:rPr>
          <w:rFonts w:ascii="Sylfaen" w:hAnsi="Sylfaen" w:cs="Tahoma"/>
        </w:rPr>
        <w:t>Making sections of the register accessible to the organisation’s membership, again</w:t>
      </w:r>
    </w:p>
    <w:p w:rsidR="00675324" w:rsidRPr="00A8795E" w:rsidRDefault="007E698E" w:rsidP="007E698E">
      <w:pPr>
        <w:pStyle w:val="ListParagraph"/>
        <w:autoSpaceDE w:val="0"/>
        <w:autoSpaceDN w:val="0"/>
        <w:adjustRightInd w:val="0"/>
        <w:spacing w:after="0" w:line="240" w:lineRule="auto"/>
        <w:ind w:left="502"/>
        <w:jc w:val="both"/>
        <w:rPr>
          <w:rFonts w:ascii="Sylfaen" w:hAnsi="Sylfaen" w:cs="Tahoma"/>
        </w:rPr>
      </w:pPr>
      <w:r w:rsidRPr="00A8795E">
        <w:rPr>
          <w:rFonts w:ascii="Sylfaen" w:hAnsi="Sylfaen" w:cs="Tahoma"/>
        </w:rPr>
        <w:t>maintaining the confidentiality of the remaining sections; and</w:t>
      </w:r>
    </w:p>
    <w:p w:rsidR="00675324" w:rsidRPr="00A8795E" w:rsidRDefault="007E698E" w:rsidP="007E698E">
      <w:pPr>
        <w:pStyle w:val="ListParagraph"/>
        <w:numPr>
          <w:ilvl w:val="0"/>
          <w:numId w:val="7"/>
        </w:numPr>
        <w:autoSpaceDE w:val="0"/>
        <w:autoSpaceDN w:val="0"/>
        <w:adjustRightInd w:val="0"/>
        <w:spacing w:after="0" w:line="240" w:lineRule="auto"/>
        <w:ind w:left="502"/>
        <w:jc w:val="both"/>
        <w:rPr>
          <w:rFonts w:ascii="Sylfaen" w:hAnsi="Sylfaen" w:cs="Tahoma"/>
        </w:rPr>
      </w:pPr>
      <w:r w:rsidRPr="00A8795E">
        <w:rPr>
          <w:rFonts w:ascii="Sylfaen" w:hAnsi="Sylfaen" w:cs="Tahoma"/>
        </w:rPr>
        <w:t>Making the complete register available only to all board members.</w:t>
      </w:r>
    </w:p>
    <w:p w:rsidR="00675324" w:rsidRPr="00A8795E" w:rsidRDefault="00675324" w:rsidP="00A8795E">
      <w:pPr>
        <w:pStyle w:val="ListParagraph"/>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When a conflict of interest does arise, it is the responsibility of the board member in question to declare such a conflict to the board. If he or she fails to do so, the Chair of Trustees or Company Secretary should declare the conflict. It is advisable at the start of board and committee meetings to request the declaration of any interests in relation to any item covered on the meeting agenda, ensuring that appropriate action can be taken and formal records made.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lastRenderedPageBreak/>
        <w:t>Dangers of conflicts of interest</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board members allow factors such as other external interests to influence their decision making, they may make decisions that are not in the charity’s best interest. This could be costly to them and damage the work and reputation of the charity. The most common dangers arising out of a conflict of interest are:</w:t>
      </w:r>
    </w:p>
    <w:p w:rsidR="00675324" w:rsidRPr="007E698E" w:rsidRDefault="007E698E" w:rsidP="007E698E">
      <w:pPr>
        <w:pStyle w:val="ListParagraph"/>
        <w:numPr>
          <w:ilvl w:val="0"/>
          <w:numId w:val="23"/>
        </w:numPr>
        <w:autoSpaceDE w:val="0"/>
        <w:autoSpaceDN w:val="0"/>
        <w:adjustRightInd w:val="0"/>
        <w:spacing w:after="0" w:line="240" w:lineRule="auto"/>
        <w:jc w:val="both"/>
        <w:rPr>
          <w:rFonts w:ascii="Sylfaen" w:hAnsi="Sylfaen" w:cs="Tahoma"/>
        </w:rPr>
      </w:pPr>
      <w:r w:rsidRPr="007E698E">
        <w:rPr>
          <w:rFonts w:ascii="Sylfaen" w:hAnsi="Sylfaen" w:cs="Tahoma"/>
        </w:rPr>
        <w:t>Poor decision making;</w:t>
      </w:r>
    </w:p>
    <w:p w:rsidR="00675324" w:rsidRPr="007E698E" w:rsidRDefault="007E698E" w:rsidP="007E698E">
      <w:pPr>
        <w:pStyle w:val="ListParagraph"/>
        <w:numPr>
          <w:ilvl w:val="0"/>
          <w:numId w:val="23"/>
        </w:numPr>
        <w:autoSpaceDE w:val="0"/>
        <w:autoSpaceDN w:val="0"/>
        <w:adjustRightInd w:val="0"/>
        <w:spacing w:after="0" w:line="240" w:lineRule="auto"/>
        <w:jc w:val="both"/>
        <w:rPr>
          <w:rFonts w:ascii="Sylfaen" w:hAnsi="Sylfaen" w:cs="Tahoma"/>
        </w:rPr>
      </w:pPr>
      <w:r w:rsidRPr="007E698E">
        <w:rPr>
          <w:rFonts w:ascii="Sylfaen" w:hAnsi="Sylfaen" w:cs="Tahoma"/>
        </w:rPr>
        <w:t>Legal challenge;</w:t>
      </w:r>
    </w:p>
    <w:p w:rsidR="00675324" w:rsidRPr="007E698E" w:rsidRDefault="007E698E" w:rsidP="007E698E">
      <w:pPr>
        <w:pStyle w:val="ListParagraph"/>
        <w:numPr>
          <w:ilvl w:val="0"/>
          <w:numId w:val="23"/>
        </w:numPr>
        <w:autoSpaceDE w:val="0"/>
        <w:autoSpaceDN w:val="0"/>
        <w:adjustRightInd w:val="0"/>
        <w:spacing w:after="0" w:line="240" w:lineRule="auto"/>
        <w:jc w:val="both"/>
        <w:rPr>
          <w:rFonts w:ascii="Sylfaen" w:hAnsi="Sylfaen" w:cs="Tahoma"/>
        </w:rPr>
      </w:pPr>
      <w:r w:rsidRPr="007E698E">
        <w:rPr>
          <w:rFonts w:ascii="Sylfaen" w:hAnsi="Sylfaen" w:cs="Tahoma"/>
        </w:rPr>
        <w:t>Loss of trust within the boardroom; and</w:t>
      </w:r>
    </w:p>
    <w:p w:rsidR="00675324" w:rsidRPr="007E698E" w:rsidRDefault="007E698E" w:rsidP="007E698E">
      <w:pPr>
        <w:pStyle w:val="ListParagraph"/>
        <w:numPr>
          <w:ilvl w:val="0"/>
          <w:numId w:val="23"/>
        </w:numPr>
        <w:autoSpaceDE w:val="0"/>
        <w:autoSpaceDN w:val="0"/>
        <w:adjustRightInd w:val="0"/>
        <w:spacing w:after="0" w:line="240" w:lineRule="auto"/>
        <w:jc w:val="both"/>
        <w:rPr>
          <w:rFonts w:ascii="Sylfaen" w:hAnsi="Sylfaen" w:cs="Tahoma"/>
        </w:rPr>
      </w:pPr>
      <w:r w:rsidRPr="007E698E">
        <w:rPr>
          <w:rFonts w:ascii="Sylfaen" w:hAnsi="Sylfaen" w:cs="Tahoma"/>
        </w:rPr>
        <w:t>Reputational damage, including a reduction in donations, volunteers and public support.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Board members acting outside the terms of their governing document, without permission</w:t>
      </w:r>
      <w:r>
        <w:rPr>
          <w:rFonts w:ascii="Sylfaen" w:hAnsi="Sylfaen" w:cs="Tahoma"/>
        </w:rPr>
        <w:t xml:space="preserve"> </w:t>
      </w:r>
      <w:r w:rsidRPr="00A8795E">
        <w:rPr>
          <w:rFonts w:ascii="Sylfaen" w:hAnsi="Sylfaen" w:cs="Tahoma"/>
        </w:rPr>
        <w:t>from the courts or the Charity Commission, will be in breach of trust. Relief from such breaches, however, may be available to those where the breach occurs even though the board members have acted as reasonable and ‘prudent people of business’, seeking and following appropriate professional advice.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 breach of trust will occur if a board member knowingly accepts a benefit from the charity</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without proper authority. Such authority may come from legislation, the Charity Commission, the courts, or the charity’s governing document. If the transaction is challenged (e.g. by the Charity Commission or another interested party) and found to be invalid, the trustee could be required to pay back any benefit received, or become liable for any loss incurred by the charity.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Governance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Within the board itself, poorly managed conflicts of interest will harm working relationships, adversely affecting free discussion. Where a board member is known to have an interest in a decision, the remaining board members may feel under pressure, whether express, implied or simply imagined, to decide in the interests of their fellow trustee. Alternatively, they may resent the interest of the other trustee and vote against it, even when following the board members interest may be the best course of action for the charity. In both cases, the trustees’ primary consideration has been a trustee’s interest, not that of the charity. Developing and applying a conflicts of interest policy is therefore key to managing such conflicts in an open and transparent manner.</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Even where the board is able to make decisions free of these emotional influences, they may feel uncomfortable speaking against the interests in a board meeting, or lose confidence in the ability of the board member in question to make decisions free of external influence. Such problems may undermine the board’s ability to function effectively as a decision-making group.</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Where the board is presented with a conflict of interest, the interest should be declared and the board member(s) involved should remove themselves from the discussion of the issue on which they are conflicted. The chair and the Company Secretary need to be mindful of the effect which board member recusing themselves from the discussion will have on the quorum. The conflict and action taken to manage it should be recorded in the minutes. Where the board member has withdrawn from the meeting, steps should be taken to ensure that any details of the discussion relating to the conflict of interest are not divulged. This could be done by printing sensitive items on separate, different coloured paper to be circulated to those board members free from the conflict. This should enable the conflicted board member to continue to exercise their responsibility in all </w:t>
      </w:r>
      <w:r w:rsidRPr="00A8795E">
        <w:rPr>
          <w:rFonts w:ascii="Sylfaen" w:hAnsi="Sylfaen" w:cs="Tahoma"/>
        </w:rPr>
        <w:lastRenderedPageBreak/>
        <w:t>other aspects of the board members’ duties by receiving minutes of meetings, without gaining access to information relating to the conflict.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Adverse publicity</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Even where board members have acted in the best interests of the charity, those outside the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board may gain an impression, or mere suspicion, that the board member acted in their own interest. Accurate or otherwise, such an impression could damage the reputation of the charity and the board(s).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Such publicity may be so adverse that it demands a response from the charity, for example because of interest from the media, a funder or regulator. The charity will then need to invest time and energy in justifying its actions and defending its reputation, deflecting resources and attention from its objectives.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Company law requirements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Board Members of charitable companies, or of a charity’s subsidiary company, will be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subject to the provisions of the Companies Act 2006 in relation to conflicts of interest and</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how they are managed. Specifically, board members have a duty to:</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Exercise independent judgement;</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Avoid conflicts of interest;</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Not to accept benefits from third parties;</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Declare any interest in a proposed transaction or arrangement;</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Declare any interest in an existing transaction or arrangement.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Section 175 of the Companies Act 2006 provides board members with the power to authorise</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certain conflicts of interests by provisions in the articles of association. Any charitable company wishing to take advantage of such a power will need to give due regard to what types of conflict it should cover. Any amendment to the articles that permits the directors, members or connected persons to benefit from the charity is a ‘regulated alteration’ and would require the prior approval of the Charity Commission.</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the board of a charitable company exceeds its constitutional powers in entering into a transaction with a board member, or someone connected to a board member, the transaction may be declared void. Where a board member fails to declare an interest in a proposed transaction, the board member may be liable to a fine. The board member(s) involved in the transaction, including those who authorised it, may be required to return any gains to the company or to make good any losses incurred.</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Company legislation imposes limitations and prohibitions on certain conflicts of interest. Sections 190 to 196 of the Companies Act 2006 limit substantial property transactions between companies and their board members and people connected with the directors.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transaction requires the prior approval of the membership by a resolution in a general</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meeting if:</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the value is greater than £5000 and exceeds 10% of the company’s net assets; or</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the total value of the property is greater than £100,000</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Under sections 197–223 of the Companies Act 2006, companies are prohibited from:</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lastRenderedPageBreak/>
        <w:t>making loans or giving similar financial assistance to directors; and</w:t>
      </w:r>
    </w:p>
    <w:p w:rsidR="00675324" w:rsidRPr="00A8795E" w:rsidRDefault="007E698E" w:rsidP="00A8795E">
      <w:pPr>
        <w:pStyle w:val="ListParagraph"/>
        <w:numPr>
          <w:ilvl w:val="0"/>
          <w:numId w:val="7"/>
        </w:numPr>
        <w:autoSpaceDE w:val="0"/>
        <w:autoSpaceDN w:val="0"/>
        <w:adjustRightInd w:val="0"/>
        <w:spacing w:after="0" w:line="240" w:lineRule="auto"/>
        <w:jc w:val="both"/>
        <w:rPr>
          <w:rFonts w:ascii="Sylfaen" w:hAnsi="Sylfaen" w:cs="Tahoma"/>
        </w:rPr>
      </w:pPr>
      <w:r w:rsidRPr="00A8795E">
        <w:rPr>
          <w:rFonts w:ascii="Sylfaen" w:hAnsi="Sylfaen" w:cs="Tahoma"/>
        </w:rPr>
        <w:t>giving guarantees or other forms of security in order to enable a director to obtain a loan.</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prohibition does not apply to advance payment of reasonable out-of-pocket expenses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that directors/trustees incur in the course of their work on behalf of the charity. This provision could impact on charitable companies that provide ‘social loans’ or venture capital to new businesses where the organisation’s users are board members. There is however, a special exemption for loans made by ‘money-lending’ companies in the ordinary course of their business.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Statement of Recommended Practice - Charities SORP20</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Charities SORP requires that disclosure must be made of transactions involving board members, related parties, staff remuneration and ex gratia payments. It notes (9.3) that ‘a</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transaction involving a board member or other related party must always be regarded as material regardless of its size’.</w:t>
      </w:r>
    </w:p>
    <w:p w:rsidR="00675324" w:rsidRPr="00A8795E" w:rsidRDefault="00675324" w:rsidP="00A8795E">
      <w:pPr>
        <w:autoSpaceDE w:val="0"/>
        <w:autoSpaceDN w:val="0"/>
        <w:adjustRightInd w:val="0"/>
        <w:spacing w:after="0" w:line="240" w:lineRule="auto"/>
        <w:jc w:val="both"/>
        <w:rPr>
          <w:rFonts w:ascii="Sylfaen" w:hAnsi="Sylfaen" w:cs="Tahoma"/>
          <w:color w:val="000066"/>
        </w:rPr>
      </w:pPr>
    </w:p>
    <w:p w:rsidR="00675324" w:rsidRPr="00A8795E" w:rsidRDefault="007E698E" w:rsidP="00A8795E">
      <w:pPr>
        <w:autoSpaceDE w:val="0"/>
        <w:autoSpaceDN w:val="0"/>
        <w:adjustRightInd w:val="0"/>
        <w:spacing w:after="0" w:line="240" w:lineRule="auto"/>
        <w:jc w:val="both"/>
        <w:rPr>
          <w:rFonts w:ascii="Sylfaen" w:hAnsi="Sylfaen" w:cs="Tahoma"/>
          <w:u w:val="single"/>
        </w:rPr>
      </w:pPr>
      <w:r w:rsidRPr="00A8795E">
        <w:rPr>
          <w:rFonts w:ascii="Sylfaen" w:hAnsi="Sylfaen" w:cs="Tahoma"/>
          <w:u w:val="single"/>
        </w:rPr>
        <w:t>Payments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Under SORP, charities must disclose that either:</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No board members have been remunerated or received other benefits from an employment with their charity or a related entity; or</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One or more board members have been remunerated or received other benefits from an employment with their charity or a related entity. For each trustee concerned, the charity must provide a breakdown of information, including name, details of why the remuneration or payments were made, the amount of remuneration and/or pension contributions and/or other benefits.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u w:val="single"/>
        </w:rPr>
      </w:pPr>
      <w:r w:rsidRPr="00A8795E">
        <w:rPr>
          <w:rFonts w:ascii="Sylfaen" w:hAnsi="Sylfaen" w:cs="Tahoma"/>
          <w:u w:val="single"/>
        </w:rPr>
        <w:t>Expenses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While the reimbursement by a charity of expenses properly incurred by board member(s) in fulfilling their duties is not considered a payment or personal benefit, SORP (9.9-9.12) requires that all charities must disclose either:</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That no trustee expenses have been incurred; or</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That one or more trustees has incurred expenses or had their expenses met by the charity.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charity must then disclose the total amount paid directly/reimbursed to board members, the nature of the expenses and the number of trustees incurring those expenses.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Transactions with related parties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SORP requires (9.17) that all transactions between a charity and a related party must be disclosed, subject to a number of exceptions, such as the provision of services on the same terms as received by the general public, or minor sales of items on the same terms as to the public. Charities must (9.19-9.20) either:</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State that no related party transactions require disclosure; or</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 xml:space="preserve">Disclose details of relevant transactions, including (but not limited to) a description of the relationship, a description of the transactions, amounts involved and the terms and conditions. The </w:t>
      </w:r>
      <w:proofErr w:type="spellStart"/>
      <w:r w:rsidRPr="00A8795E">
        <w:rPr>
          <w:rFonts w:ascii="Sylfaen" w:hAnsi="Sylfaen" w:cs="Tahoma"/>
        </w:rPr>
        <w:t>sorp</w:t>
      </w:r>
      <w:proofErr w:type="spellEnd"/>
      <w:r w:rsidRPr="00A8795E">
        <w:rPr>
          <w:rFonts w:ascii="Sylfaen" w:hAnsi="Sylfaen" w:cs="Tahoma"/>
        </w:rPr>
        <w:t xml:space="preserve"> requires the disclosure of names of the transacting related party/parties.</w:t>
      </w:r>
    </w:p>
    <w:p w:rsidR="00675324" w:rsidRPr="00A8795E" w:rsidRDefault="00675324" w:rsidP="00A8795E">
      <w:pPr>
        <w:autoSpaceDE w:val="0"/>
        <w:autoSpaceDN w:val="0"/>
        <w:adjustRightInd w:val="0"/>
        <w:spacing w:after="0" w:line="240" w:lineRule="auto"/>
        <w:jc w:val="both"/>
        <w:rPr>
          <w:rFonts w:ascii="Sylfaen" w:hAnsi="Sylfaen" w:cs="Tahoma"/>
        </w:rPr>
      </w:pPr>
    </w:p>
    <w:p w:rsidR="00EE6B67" w:rsidRDefault="00EE6B67" w:rsidP="00A8795E">
      <w:pPr>
        <w:autoSpaceDE w:val="0"/>
        <w:autoSpaceDN w:val="0"/>
        <w:adjustRightInd w:val="0"/>
        <w:spacing w:after="0" w:line="240" w:lineRule="auto"/>
        <w:jc w:val="both"/>
        <w:rPr>
          <w:rFonts w:ascii="Sylfaen" w:hAnsi="Sylfaen" w:cs="Tahoma"/>
          <w:b/>
          <w:bCs/>
        </w:rPr>
      </w:pPr>
    </w:p>
    <w:p w:rsidR="00EE6B67" w:rsidRDefault="00EE6B67" w:rsidP="00A8795E">
      <w:pPr>
        <w:autoSpaceDE w:val="0"/>
        <w:autoSpaceDN w:val="0"/>
        <w:adjustRightInd w:val="0"/>
        <w:spacing w:after="0" w:line="240" w:lineRule="auto"/>
        <w:jc w:val="both"/>
        <w:rPr>
          <w:rFonts w:ascii="Sylfaen" w:hAnsi="Sylfaen" w:cs="Tahoma"/>
          <w:b/>
          <w:bCs/>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lastRenderedPageBreak/>
        <w:t>Developing a policy on conflicts of interest</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Conflicts of interest cannot be avoided altogether, so organisations should develop a policy to manage them effectively, when they arise. The existence and application of a conflicts of interest policy will serve as a means of demonstrating good practice and governance under external scrutiny. A well-written and properly implemented policy will support board members in establishing that they have acted in the charity’s best interest.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 conflict of interest policy should address the most likely areas of conflict:</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How conflicts will be identified and managed;</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The payment of trustees; and</w:t>
      </w:r>
    </w:p>
    <w:p w:rsidR="00675324" w:rsidRPr="00A8795E" w:rsidRDefault="007E698E" w:rsidP="00A8795E">
      <w:pPr>
        <w:pStyle w:val="ListParagraph"/>
        <w:numPr>
          <w:ilvl w:val="0"/>
          <w:numId w:val="11"/>
        </w:numPr>
        <w:autoSpaceDE w:val="0"/>
        <w:autoSpaceDN w:val="0"/>
        <w:adjustRightInd w:val="0"/>
        <w:spacing w:after="0" w:line="240" w:lineRule="auto"/>
        <w:jc w:val="both"/>
        <w:rPr>
          <w:rFonts w:ascii="Sylfaen" w:hAnsi="Sylfaen" w:cs="Tahoma"/>
        </w:rPr>
      </w:pPr>
      <w:r w:rsidRPr="00A8795E">
        <w:rPr>
          <w:rFonts w:ascii="Sylfaen" w:hAnsi="Sylfaen" w:cs="Tahoma"/>
        </w:rPr>
        <w:t>Conflicts of loyalties.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Other elements of the policy will be determined by the nature of the organisation and its governance structure. The policy should be appropriate for the work of the organisation.</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In drafting and implementing a conflict of interest policy, it may be beneficial to develop other policies on matters peripheral to managing such conflicts. For instance, a formal expenses policy and statement on the giving and receiving of corporate hospitality and gifts would provide clear and transparent guidance to trustees, staff and other interested parties of the steps to be taken in these situations that would reinforce the principles of avoiding conflicts of interest and the policy on managing them when they occur. </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conflicts of interest policy should be regularly reviewed.</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Data protection</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information held on a voluntary register of interests is subject to the provisions of the Data Protection Act 2018, which incorporates the EU General Data Protection Regulation (GDPR). Certain conditions must be met in order to establish that personal data has been processed fairly and lawfully. These conditions should not prove too onerous providing the board members are told:</w:t>
      </w:r>
    </w:p>
    <w:p w:rsidR="00675324" w:rsidRPr="00A8795E" w:rsidRDefault="007E698E" w:rsidP="00A8795E">
      <w:pPr>
        <w:pStyle w:val="ListParagraph"/>
        <w:numPr>
          <w:ilvl w:val="0"/>
          <w:numId w:val="19"/>
        </w:numPr>
        <w:autoSpaceDE w:val="0"/>
        <w:autoSpaceDN w:val="0"/>
        <w:adjustRightInd w:val="0"/>
        <w:spacing w:after="0" w:line="240" w:lineRule="auto"/>
        <w:jc w:val="both"/>
        <w:rPr>
          <w:rFonts w:ascii="Sylfaen" w:hAnsi="Sylfaen" w:cs="Tahoma"/>
        </w:rPr>
      </w:pPr>
      <w:r w:rsidRPr="00A8795E">
        <w:rPr>
          <w:rFonts w:ascii="Sylfaen" w:hAnsi="Sylfaen" w:cs="Tahoma"/>
        </w:rPr>
        <w:t>Who is controlling the data;</w:t>
      </w:r>
    </w:p>
    <w:p w:rsidR="00675324" w:rsidRPr="00A8795E" w:rsidRDefault="007E698E" w:rsidP="00A8795E">
      <w:pPr>
        <w:pStyle w:val="ListParagraph"/>
        <w:numPr>
          <w:ilvl w:val="0"/>
          <w:numId w:val="19"/>
        </w:numPr>
        <w:autoSpaceDE w:val="0"/>
        <w:autoSpaceDN w:val="0"/>
        <w:adjustRightInd w:val="0"/>
        <w:spacing w:after="0" w:line="240" w:lineRule="auto"/>
        <w:jc w:val="both"/>
        <w:rPr>
          <w:rFonts w:ascii="Sylfaen" w:hAnsi="Sylfaen" w:cs="Tahoma"/>
        </w:rPr>
      </w:pPr>
      <w:r w:rsidRPr="00A8795E">
        <w:rPr>
          <w:rFonts w:ascii="Sylfaen" w:hAnsi="Sylfaen" w:cs="Tahoma"/>
        </w:rPr>
        <w:t>Why the information is being processed; and</w:t>
      </w:r>
    </w:p>
    <w:p w:rsidR="00675324" w:rsidRPr="00A8795E" w:rsidRDefault="007E698E" w:rsidP="00A8795E">
      <w:pPr>
        <w:pStyle w:val="ListParagraph"/>
        <w:numPr>
          <w:ilvl w:val="0"/>
          <w:numId w:val="19"/>
        </w:numPr>
        <w:autoSpaceDE w:val="0"/>
        <w:autoSpaceDN w:val="0"/>
        <w:adjustRightInd w:val="0"/>
        <w:spacing w:after="0" w:line="240" w:lineRule="auto"/>
        <w:jc w:val="both"/>
        <w:rPr>
          <w:rFonts w:ascii="Sylfaen" w:hAnsi="Sylfaen" w:cs="Tahoma"/>
        </w:rPr>
      </w:pPr>
      <w:r w:rsidRPr="00A8795E">
        <w:rPr>
          <w:rFonts w:ascii="Sylfaen" w:hAnsi="Sylfaen" w:cs="Tahoma"/>
        </w:rPr>
        <w:t>How often records will be updated.</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Under GDPR, the processing of ordinary categories of personal data is lawful only if one or more of the following applies:</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Processing of the data is carried out with the consent of the data subject;</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Processing is necessary for the performance of a contract with the data subject or to</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take steps to enter into a contract;</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Compliance with a legal obligation;</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Protecting the vital interests of a data subject or another person;</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Performance of a task carried out in the public interest or in the exercise of official</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authority vested in the controller; and</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The purposes of legitimate interests pursued by the controller or a third party - except</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Where such interests are overridden by the interests, rights or freedoms of the data</w:t>
      </w:r>
    </w:p>
    <w:p w:rsidR="00675324" w:rsidRPr="00A8795E" w:rsidRDefault="007E698E" w:rsidP="00A8795E">
      <w:pPr>
        <w:pStyle w:val="ListParagraph"/>
        <w:numPr>
          <w:ilvl w:val="0"/>
          <w:numId w:val="21"/>
        </w:numPr>
        <w:autoSpaceDE w:val="0"/>
        <w:autoSpaceDN w:val="0"/>
        <w:adjustRightInd w:val="0"/>
        <w:spacing w:after="0" w:line="240" w:lineRule="auto"/>
        <w:jc w:val="both"/>
        <w:rPr>
          <w:rFonts w:ascii="Sylfaen" w:hAnsi="Sylfaen" w:cs="Tahoma"/>
        </w:rPr>
      </w:pPr>
      <w:r w:rsidRPr="00A8795E">
        <w:rPr>
          <w:rFonts w:ascii="Sylfaen" w:hAnsi="Sylfaen" w:cs="Tahoma"/>
        </w:rPr>
        <w:t>Subject, or where the processing is being carried out by public authorities in the performance of their tasks.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lastRenderedPageBreak/>
        <w:t>The processing of special categories of personal data (such as that revealing racial or ethnic origin, political opinions, religious or philosophical beliefs, trade union membership) is prohibited unless certain specified criteria are satisfied, including but not limited to:</w:t>
      </w:r>
    </w:p>
    <w:p w:rsidR="00675324" w:rsidRPr="00A8795E" w:rsidRDefault="007E698E" w:rsidP="00A8795E">
      <w:pPr>
        <w:pStyle w:val="ListParagraph"/>
        <w:numPr>
          <w:ilvl w:val="0"/>
          <w:numId w:val="16"/>
        </w:numPr>
        <w:autoSpaceDE w:val="0"/>
        <w:autoSpaceDN w:val="0"/>
        <w:adjustRightInd w:val="0"/>
        <w:spacing w:after="0" w:line="240" w:lineRule="auto"/>
        <w:jc w:val="both"/>
        <w:rPr>
          <w:rFonts w:ascii="Sylfaen" w:hAnsi="Sylfaen" w:cs="Tahoma"/>
        </w:rPr>
      </w:pPr>
      <w:r w:rsidRPr="00A8795E">
        <w:rPr>
          <w:rFonts w:ascii="Sylfaen" w:hAnsi="Sylfaen" w:cs="Tahoma"/>
        </w:rPr>
        <w:t>It relates to data manifestly made public by the data subject;</w:t>
      </w:r>
    </w:p>
    <w:p w:rsidR="00675324" w:rsidRPr="00A8795E" w:rsidRDefault="007E698E" w:rsidP="00A8795E">
      <w:pPr>
        <w:pStyle w:val="ListParagraph"/>
        <w:numPr>
          <w:ilvl w:val="0"/>
          <w:numId w:val="16"/>
        </w:numPr>
        <w:autoSpaceDE w:val="0"/>
        <w:autoSpaceDN w:val="0"/>
        <w:adjustRightInd w:val="0"/>
        <w:spacing w:after="0" w:line="240" w:lineRule="auto"/>
        <w:jc w:val="both"/>
        <w:rPr>
          <w:rFonts w:ascii="Sylfaen" w:hAnsi="Sylfaen" w:cs="Tahoma"/>
        </w:rPr>
      </w:pPr>
      <w:r w:rsidRPr="00A8795E">
        <w:rPr>
          <w:rFonts w:ascii="Sylfaen" w:hAnsi="Sylfaen" w:cs="Tahoma"/>
        </w:rPr>
        <w:t>Processing is carried out with the explicit consent of the data subject;</w:t>
      </w:r>
    </w:p>
    <w:p w:rsidR="00675324" w:rsidRPr="00A8795E" w:rsidRDefault="007E698E" w:rsidP="00A8795E">
      <w:pPr>
        <w:pStyle w:val="ListParagraph"/>
        <w:numPr>
          <w:ilvl w:val="0"/>
          <w:numId w:val="16"/>
        </w:numPr>
        <w:autoSpaceDE w:val="0"/>
        <w:autoSpaceDN w:val="0"/>
        <w:adjustRightInd w:val="0"/>
        <w:spacing w:after="0" w:line="240" w:lineRule="auto"/>
        <w:jc w:val="both"/>
        <w:rPr>
          <w:rFonts w:ascii="Sylfaen" w:hAnsi="Sylfaen" w:cs="Tahoma"/>
        </w:rPr>
      </w:pPr>
      <w:r w:rsidRPr="00A8795E">
        <w:rPr>
          <w:rFonts w:ascii="Sylfaen" w:hAnsi="Sylfaen" w:cs="Tahoma"/>
        </w:rPr>
        <w:t>It is necessary to carry out obligations under employment, social security or social</w:t>
      </w:r>
    </w:p>
    <w:p w:rsidR="00675324" w:rsidRPr="00A8795E" w:rsidRDefault="007E698E" w:rsidP="00A8795E">
      <w:pPr>
        <w:pStyle w:val="ListParagraph"/>
        <w:numPr>
          <w:ilvl w:val="0"/>
          <w:numId w:val="17"/>
        </w:numPr>
        <w:autoSpaceDE w:val="0"/>
        <w:autoSpaceDN w:val="0"/>
        <w:adjustRightInd w:val="0"/>
        <w:spacing w:after="0" w:line="240" w:lineRule="auto"/>
        <w:jc w:val="both"/>
        <w:rPr>
          <w:rFonts w:ascii="Sylfaen" w:hAnsi="Sylfaen" w:cs="Tahoma"/>
        </w:rPr>
      </w:pPr>
      <w:r w:rsidRPr="00A8795E">
        <w:rPr>
          <w:rFonts w:ascii="Sylfaen" w:hAnsi="Sylfaen" w:cs="Tahoma"/>
        </w:rPr>
        <w:t>Protection law, or a collective agreement; and</w:t>
      </w:r>
    </w:p>
    <w:p w:rsidR="00675324" w:rsidRPr="00A8795E" w:rsidRDefault="007E698E" w:rsidP="00A8795E">
      <w:pPr>
        <w:pStyle w:val="ListParagraph"/>
        <w:numPr>
          <w:ilvl w:val="0"/>
          <w:numId w:val="17"/>
        </w:numPr>
        <w:autoSpaceDE w:val="0"/>
        <w:autoSpaceDN w:val="0"/>
        <w:adjustRightInd w:val="0"/>
        <w:spacing w:after="0" w:line="240" w:lineRule="auto"/>
        <w:jc w:val="both"/>
        <w:rPr>
          <w:rFonts w:ascii="Sylfaen" w:hAnsi="Sylfaen" w:cs="Tahoma"/>
        </w:rPr>
      </w:pPr>
      <w:r w:rsidRPr="00A8795E">
        <w:rPr>
          <w:rFonts w:ascii="Sylfaen" w:hAnsi="Sylfaen" w:cs="Tahoma"/>
        </w:rPr>
        <w:t>Reasons of substantial public interest derived from EU or member state law, where the processing is proportionate to the aim and contains appropriate safeguards.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For the purposes of a register of interests, charities will be able to cite the explicit consent of the data subject where the information is provided on the declaration of interests’ form. The consent should be unambiguous, freely given, specific and informed.</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Sensitive personal data, such as trade union membership, political opinions and religious beliefs, may be processed but is subject to stricter criteria. In the case of the register of interests, such information may be included with the explicit consent of the individual, but organisations should consider carefully the level of detail they actually need in terms of trustees’ interests. Data should be accurate and kept up-to-date. Data controllers are expected to take appropriate security measures to ensure that data is not unlawfully processed, lost or damaged.</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All organisations should make themselves aware of their responsibilities under data protection legislation. Further information is available at </w:t>
      </w:r>
      <w:hyperlink r:id="rId6" w:history="1">
        <w:r w:rsidRPr="00A8795E">
          <w:rPr>
            <w:rStyle w:val="Hyperlink"/>
            <w:rFonts w:ascii="Sylfaen" w:hAnsi="Sylfaen" w:cs="Tahoma"/>
          </w:rPr>
          <w:t>www.ico.gov.uk</w:t>
        </w:r>
      </w:hyperlink>
      <w:r w:rsidRPr="00A8795E">
        <w:rPr>
          <w:rFonts w:ascii="Sylfaen" w:hAnsi="Sylfaen" w:cs="Tahoma"/>
        </w:rPr>
        <w: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It should be made clear to board members why a register of interests is being developed and how it will be used. This should include explanations as to what kind of information will be recorded and whether any, or no part, of that information will be available to interested members of the public, including stakeholders, members and other trustees.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This policy applies to Members, Trustees, Local Academy Councils and all staff and volunteers. </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Why we have a policy</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Trustees have a legal obligation to act in the best interests of James Marks Academy Trust, and in accordance with James Marks Academy Trust governing document, and to avoid situations where there may be a potential conflict of interest. Staff and volunteers have similar obligations.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Conflicts of interests may arise where an individual’s personal or family interests and/or loyalties conflict with those of the James Marks Academy Trust. Such conflicts may create problems that:</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Inhibit free discussion;</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Result in decisions or actions that are not in the interests of James Marks Academy Trust; or</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Risk the impression that [the charity] has acted improperly.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aim of this policy is to protect both the organisation and the individuals involved from</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any appearance of impropriety.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bCs/>
        </w:rPr>
      </w:pPr>
      <w:r w:rsidRPr="00A8795E">
        <w:rPr>
          <w:rFonts w:ascii="Sylfaen" w:hAnsi="Sylfaen" w:cs="Tahoma"/>
          <w:b/>
          <w:bCs/>
        </w:rPr>
        <w:t>The declaration of interests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Accordingly, we are asking Members, Trustees, Local Academy Councils, all staff and volunteers to declare their interests, and any gifts or hospitality offered and received in connection with their </w:t>
      </w:r>
      <w:r w:rsidRPr="00A8795E">
        <w:rPr>
          <w:rFonts w:ascii="Sylfaen" w:hAnsi="Sylfaen" w:cs="Tahoma"/>
        </w:rPr>
        <w:lastRenderedPageBreak/>
        <w:t>role in James Marks Academy Trust. A declaration of interests’ form is provided for this purpose, listing the types of interest you should declare.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To be effective, the declaration of interests needs to be updated at least annually, and when any material changes occur.</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you are not sure what to declare, or whether/when your declaration needs to be updated, please err on the side of caution. If you would like to discuss this issue, please contact the Company Secretary for confidential guidance.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This register of interests shall be used to record all gifts and hospitality received by Members, Trustees, Local Academy Councils, all staff and volunteers.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Interests and gifts will be recorded on the charity’s register of interests, which will be maintained by Company Secretary. The register will be accessible by members of the Executive Team.</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rPr>
        <w:t>Data protection</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information provided will be processed in accordance with data protection principles as set out in the Data Protection Act 2018. Data will be processed only to ensure that Members, Trustees, Local Academy Councils, all staff and volunteers act in the best interests of James Marks Academy Trust. The information provided will not be used for any other purpose.</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rPr>
        <w:t>What to do if you face a conflict of interest</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you believe you have a real or perceived conflict of interest, you should:</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Declare the interest at the earliest opportunity</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Withdraw from discussions and decisions relating to the conflict.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 charity secretary/governance professional should take special care to ensure that minutes or other documents relating to the item presenting a conflict are appropriately redacted for the person facing the conflict. A balance needs to be made to ensure that the person still receives sufficient information about the activities of the charity generally without disclosing such sensitive information that could place the individual in an untenable position.</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you are a user of James Marks Academy Trust services, or the carer of someone who uses James Marks Academy</w:t>
      </w:r>
      <w:r>
        <w:rPr>
          <w:rFonts w:ascii="Sylfaen" w:hAnsi="Sylfaen" w:cs="Tahoma"/>
        </w:rPr>
        <w:t xml:space="preserve"> Trust</w:t>
      </w:r>
      <w:r w:rsidRPr="00A8795E">
        <w:rPr>
          <w:rFonts w:ascii="Sylfaen" w:hAnsi="Sylfaen" w:cs="Tahoma"/>
        </w:rPr>
        <w:t xml:space="preserve"> services, you should not be involved in decisions that directly affect the service that you, or the person you care for, receive(s). You should declare your interest at the earliest opportunity and withdraw from any subsequent discussion, unless expressly invited to remain in order to provide information. In this case you may not participate in, or influence, the decision or any vote on the matter. You will not be counted in the quorum for that part of the meeting and must withdraw from the meeting during any vote on the conflicted item.</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There are situations where you may participate in discussions from which you could indirectly benefit, for example where the benefits are universal to all users, or where your benefit is minimal. This action will be agreed by the chair and minuted accordingly.</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you fail to declare an interest that is known to Company Secretary and/or Chair of Trustees, the Company Secretary or Chair of Trustees will declare that interest.</w:t>
      </w:r>
    </w:p>
    <w:p w:rsidR="00A8795E" w:rsidRDefault="00A8795E" w:rsidP="00A8795E">
      <w:pPr>
        <w:autoSpaceDE w:val="0"/>
        <w:autoSpaceDN w:val="0"/>
        <w:adjustRightInd w:val="0"/>
        <w:spacing w:after="0" w:line="240" w:lineRule="auto"/>
        <w:jc w:val="both"/>
        <w:rPr>
          <w:rFonts w:ascii="Sylfaen" w:hAnsi="Sylfaen" w:cs="Tahoma"/>
        </w:rPr>
      </w:pPr>
    </w:p>
    <w:p w:rsidR="00A8795E" w:rsidRPr="00A8795E" w:rsidRDefault="00A8795E" w:rsidP="00A8795E">
      <w:pPr>
        <w:autoSpaceDE w:val="0"/>
        <w:autoSpaceDN w:val="0"/>
        <w:adjustRightInd w:val="0"/>
        <w:spacing w:after="0" w:line="240" w:lineRule="auto"/>
        <w:jc w:val="both"/>
        <w:rPr>
          <w:rFonts w:ascii="Sylfaen" w:hAnsi="Sylfaen" w:cs="Tahoma"/>
        </w:rPr>
      </w:pP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rPr>
        <w:t>Decisions taken where a trustee or member of staff has an interest</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In the event of the board having to decide upon a question in which a Members, Trustees, Local Academy Councils, all staff and volunteers has an interest, all decisions will be made by vote, with a simple majority required. A quorum must be attained for the discussion and decision; interested parties will not be counted when deciding whether the meeting is quorate. Interested board members may not vote on matters affecting their own interests.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All decisions under a conflict of interest will be recorded by the Company Secretary and reported in the minutes of the meeting. The report will record:</w:t>
      </w:r>
    </w:p>
    <w:p w:rsidR="00675324" w:rsidRPr="00A8795E" w:rsidRDefault="007E698E" w:rsidP="00A8795E">
      <w:pPr>
        <w:pStyle w:val="ListParagraph"/>
        <w:numPr>
          <w:ilvl w:val="0"/>
          <w:numId w:val="22"/>
        </w:numPr>
        <w:autoSpaceDE w:val="0"/>
        <w:autoSpaceDN w:val="0"/>
        <w:adjustRightInd w:val="0"/>
        <w:spacing w:after="0" w:line="240" w:lineRule="auto"/>
        <w:jc w:val="both"/>
        <w:rPr>
          <w:rFonts w:ascii="Sylfaen" w:hAnsi="Sylfaen" w:cs="Tahoma"/>
        </w:rPr>
      </w:pPr>
      <w:r w:rsidRPr="00A8795E">
        <w:rPr>
          <w:rFonts w:ascii="Sylfaen" w:hAnsi="Sylfaen" w:cs="Tahoma"/>
        </w:rPr>
        <w:t>The nature and extent of the conflict;</w:t>
      </w:r>
    </w:p>
    <w:p w:rsidR="00675324" w:rsidRPr="00A8795E" w:rsidRDefault="007E698E" w:rsidP="00A8795E">
      <w:pPr>
        <w:pStyle w:val="ListParagraph"/>
        <w:numPr>
          <w:ilvl w:val="0"/>
          <w:numId w:val="22"/>
        </w:numPr>
        <w:autoSpaceDE w:val="0"/>
        <w:autoSpaceDN w:val="0"/>
        <w:adjustRightInd w:val="0"/>
        <w:spacing w:after="0" w:line="240" w:lineRule="auto"/>
        <w:jc w:val="both"/>
        <w:rPr>
          <w:rFonts w:ascii="Sylfaen" w:hAnsi="Sylfaen" w:cs="Tahoma"/>
        </w:rPr>
      </w:pPr>
      <w:r w:rsidRPr="00A8795E">
        <w:rPr>
          <w:rFonts w:ascii="Sylfaen" w:hAnsi="Sylfaen" w:cs="Tahoma"/>
        </w:rPr>
        <w:t>An outline of the discussion; and</w:t>
      </w:r>
    </w:p>
    <w:p w:rsidR="00675324" w:rsidRPr="00A8795E" w:rsidRDefault="007E698E" w:rsidP="00A8795E">
      <w:pPr>
        <w:pStyle w:val="ListParagraph"/>
        <w:numPr>
          <w:ilvl w:val="0"/>
          <w:numId w:val="22"/>
        </w:numPr>
        <w:autoSpaceDE w:val="0"/>
        <w:autoSpaceDN w:val="0"/>
        <w:adjustRightInd w:val="0"/>
        <w:spacing w:after="0" w:line="240" w:lineRule="auto"/>
        <w:jc w:val="both"/>
        <w:rPr>
          <w:rFonts w:ascii="Sylfaen" w:hAnsi="Sylfaen" w:cs="Tahoma"/>
        </w:rPr>
      </w:pPr>
      <w:r w:rsidRPr="00A8795E">
        <w:rPr>
          <w:rFonts w:ascii="Sylfaen" w:hAnsi="Sylfaen" w:cs="Tahoma"/>
        </w:rPr>
        <w:t>The actions taken to manage the conflict.</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Where a trustee benefits from the decision, this will be reported in the annual report and accounts in accordance with the current Charities SORP.</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All payments or benefits in kind to trustees will be reported in the charity’s accounts and annual report, with amounts for each trustee listed for the year in question.</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Where a member of James Marks Academy Trust staff is connected to a party involved in the supply of</w:t>
      </w:r>
      <w:r>
        <w:rPr>
          <w:rFonts w:ascii="Sylfaen" w:hAnsi="Sylfaen" w:cs="Tahoma"/>
        </w:rPr>
        <w:t xml:space="preserve"> </w:t>
      </w:r>
      <w:r w:rsidRPr="00A8795E">
        <w:rPr>
          <w:rFonts w:ascii="Sylfaen" w:hAnsi="Sylfaen" w:cs="Tahoma"/>
        </w:rPr>
        <w:t>a service or product to the charity, this information will be fully disclosed in the annual</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report and accounts.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Independent external moderation will be used where conflicts cannot be resolved through the usual procedures.</w:t>
      </w: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rPr>
        <w:t>Managing contracts</w:t>
      </w: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If you have a conflict of interest, you must not be involved in managing or monitoring a contract in which you have an interest. Monitoring arrangements for such contracts will include provisions for an independent challenge of bills and invoices, and termination of the contract if the relationship is unsatisfactory.</w:t>
      </w:r>
    </w:p>
    <w:p w:rsidR="00675324" w:rsidRPr="00A8795E" w:rsidRDefault="007E698E" w:rsidP="00A8795E">
      <w:pPr>
        <w:jc w:val="both"/>
        <w:rPr>
          <w:rFonts w:ascii="Sylfaen" w:hAnsi="Sylfaen" w:cs="Tahoma"/>
        </w:rPr>
      </w:pPr>
      <w:r w:rsidRPr="00A8795E">
        <w:rPr>
          <w:rFonts w:ascii="Sylfaen" w:hAnsi="Sylfaen" w:cs="Tahoma"/>
        </w:rPr>
        <w:br w:type="page"/>
      </w: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noProof/>
          <w:lang w:eastAsia="en-GB"/>
        </w:rPr>
        <w:lastRenderedPageBreak/>
        <w:drawing>
          <wp:anchor distT="0" distB="0" distL="114300" distR="114300" simplePos="0" relativeHeight="251660288" behindDoc="1" locked="0" layoutInCell="1" allowOverlap="1">
            <wp:simplePos x="0" y="0"/>
            <wp:positionH relativeFrom="column">
              <wp:posOffset>-130835</wp:posOffset>
            </wp:positionH>
            <wp:positionV relativeFrom="paragraph">
              <wp:posOffset>395</wp:posOffset>
            </wp:positionV>
            <wp:extent cx="853440" cy="831215"/>
            <wp:effectExtent l="0" t="0" r="3810" b="6985"/>
            <wp:wrapTight wrapText="bothSides">
              <wp:wrapPolygon edited="0">
                <wp:start x="6268" y="0"/>
                <wp:lineTo x="3375" y="1485"/>
                <wp:lineTo x="0" y="5445"/>
                <wp:lineTo x="0" y="17821"/>
                <wp:lineTo x="5786" y="21286"/>
                <wp:lineTo x="8679" y="21286"/>
                <wp:lineTo x="12536" y="21286"/>
                <wp:lineTo x="15429" y="21286"/>
                <wp:lineTo x="21214" y="17821"/>
                <wp:lineTo x="21214" y="5445"/>
                <wp:lineTo x="17839" y="1485"/>
                <wp:lineTo x="14946" y="0"/>
                <wp:lineTo x="6268"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53440" cy="831215"/>
                    </a:xfrm>
                    <a:prstGeom prst="rect">
                      <a:avLst/>
                    </a:prstGeom>
                  </pic:spPr>
                </pic:pic>
              </a:graphicData>
            </a:graphic>
            <wp14:sizeRelH relativeFrom="page">
              <wp14:pctWidth>0</wp14:pctWidth>
            </wp14:sizeRelH>
            <wp14:sizeRelV relativeFrom="page">
              <wp14:pctHeight>0</wp14:pctHeight>
            </wp14:sizeRelV>
          </wp:anchor>
        </w:drawing>
      </w: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rPr>
        <w:t>Declaration of interest form (England &amp; Wales)</w:t>
      </w:r>
    </w:p>
    <w:p w:rsidR="00675324" w:rsidRPr="00A8795E" w:rsidRDefault="00675324" w:rsidP="00A8795E">
      <w:pPr>
        <w:autoSpaceDE w:val="0"/>
        <w:autoSpaceDN w:val="0"/>
        <w:adjustRightInd w:val="0"/>
        <w:spacing w:after="0" w:line="240" w:lineRule="auto"/>
        <w:jc w:val="both"/>
        <w:rPr>
          <w:rFonts w:ascii="Sylfaen" w:hAnsi="Sylfaen" w:cs="Tahoma"/>
          <w:b/>
        </w:rPr>
      </w:pPr>
    </w:p>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675324" w:rsidP="00A8795E">
      <w:pPr>
        <w:autoSpaceDE w:val="0"/>
        <w:autoSpaceDN w:val="0"/>
        <w:adjustRightInd w:val="0"/>
        <w:spacing w:after="0" w:line="240" w:lineRule="auto"/>
        <w:jc w:val="both"/>
        <w:rPr>
          <w:rFonts w:ascii="Sylfaen" w:hAnsi="Sylfaen" w:cs="Tahoma"/>
        </w:rPr>
      </w:pPr>
    </w:p>
    <w:p w:rsidR="00A8795E" w:rsidRDefault="00A8795E" w:rsidP="00A8795E">
      <w:pPr>
        <w:autoSpaceDE w:val="0"/>
        <w:autoSpaceDN w:val="0"/>
        <w:adjustRightInd w:val="0"/>
        <w:spacing w:after="0" w:line="360" w:lineRule="auto"/>
        <w:jc w:val="both"/>
        <w:rPr>
          <w:rFonts w:ascii="Sylfaen" w:hAnsi="Sylfaen" w:cs="Tahoma"/>
        </w:rPr>
      </w:pPr>
    </w:p>
    <w:p w:rsidR="00675324" w:rsidRPr="00A8795E" w:rsidRDefault="007E698E" w:rsidP="00A8795E">
      <w:pPr>
        <w:autoSpaceDE w:val="0"/>
        <w:autoSpaceDN w:val="0"/>
        <w:adjustRightInd w:val="0"/>
        <w:spacing w:after="0" w:line="360" w:lineRule="auto"/>
        <w:jc w:val="both"/>
        <w:rPr>
          <w:rFonts w:ascii="Sylfaen" w:hAnsi="Sylfaen" w:cs="Tahoma"/>
        </w:rPr>
      </w:pPr>
      <w:r w:rsidRPr="00A8795E">
        <w:rPr>
          <w:rFonts w:ascii="Sylfaen" w:hAnsi="Sylfaen" w:cs="Tahoma"/>
        </w:rPr>
        <w:t xml:space="preserve">I ……………………………………………as Members, Trustees, Local Academy Councils, all staff and volunteers of James Marks Academy Trust have set out below my interests in accordance with the organisations conflicts of interest policy.  </w:t>
      </w:r>
    </w:p>
    <w:p w:rsidR="00675324" w:rsidRPr="00A8795E" w:rsidRDefault="00675324" w:rsidP="00A8795E">
      <w:pPr>
        <w:autoSpaceDE w:val="0"/>
        <w:autoSpaceDN w:val="0"/>
        <w:adjustRightInd w:val="0"/>
        <w:spacing w:after="0" w:line="360" w:lineRule="auto"/>
        <w:jc w:val="both"/>
        <w:rPr>
          <w:rFonts w:ascii="Sylfaen" w:hAnsi="Sylfaen" w:cs="Tahoma"/>
        </w:rPr>
      </w:pPr>
    </w:p>
    <w:tbl>
      <w:tblPr>
        <w:tblStyle w:val="TableGrid"/>
        <w:tblW w:w="10774" w:type="dxa"/>
        <w:tblInd w:w="-856" w:type="dxa"/>
        <w:tblLook w:val="04A0" w:firstRow="1" w:lastRow="0" w:firstColumn="1" w:lastColumn="0" w:noHBand="0" w:noVBand="1"/>
      </w:tblPr>
      <w:tblGrid>
        <w:gridCol w:w="6096"/>
        <w:gridCol w:w="4678"/>
      </w:tblGrid>
      <w:tr w:rsidR="00675324" w:rsidRPr="00A8795E">
        <w:tc>
          <w:tcPr>
            <w:tcW w:w="6096" w:type="dxa"/>
            <w:shd w:val="clear" w:color="auto" w:fill="BDD6EE" w:themeFill="accent1" w:themeFillTint="66"/>
          </w:tcPr>
          <w:p w:rsidR="00675324" w:rsidRPr="00A8795E" w:rsidRDefault="007E698E" w:rsidP="00A8795E">
            <w:pPr>
              <w:autoSpaceDE w:val="0"/>
              <w:autoSpaceDN w:val="0"/>
              <w:adjustRightInd w:val="0"/>
              <w:spacing w:line="360" w:lineRule="auto"/>
              <w:jc w:val="both"/>
              <w:rPr>
                <w:rFonts w:ascii="Sylfaen" w:hAnsi="Sylfaen" w:cs="Tahoma"/>
              </w:rPr>
            </w:pPr>
            <w:r w:rsidRPr="00A8795E">
              <w:rPr>
                <w:rFonts w:ascii="Sylfaen" w:hAnsi="Sylfaen" w:cs="Tahoma"/>
              </w:rPr>
              <w:t>Category</w:t>
            </w:r>
          </w:p>
        </w:tc>
        <w:tc>
          <w:tcPr>
            <w:tcW w:w="4678" w:type="dxa"/>
            <w:shd w:val="clear" w:color="auto" w:fill="BDD6EE" w:themeFill="accent1" w:themeFillTint="66"/>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 xml:space="preserve">Please give details of interests and whether it applies to yourself or, where appropriate, a member of your immediate family, connected persons or some other close personal connection. </w:t>
            </w:r>
          </w:p>
        </w:tc>
      </w:tr>
      <w:tr w:rsidR="00675324" w:rsidRPr="00A8795E">
        <w:tc>
          <w:tcPr>
            <w:tcW w:w="6096" w:type="dxa"/>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 xml:space="preserve">Current employment and any previous employment in which you continue to have financial interest. </w:t>
            </w:r>
          </w:p>
        </w:tc>
        <w:tc>
          <w:tcPr>
            <w:tcW w:w="4678" w:type="dxa"/>
          </w:tcPr>
          <w:p w:rsidR="00675324" w:rsidRPr="00A8795E" w:rsidRDefault="00675324" w:rsidP="00A8795E">
            <w:pPr>
              <w:autoSpaceDE w:val="0"/>
              <w:autoSpaceDN w:val="0"/>
              <w:adjustRightInd w:val="0"/>
              <w:jc w:val="both"/>
              <w:rPr>
                <w:rFonts w:ascii="Sylfaen" w:hAnsi="Sylfaen" w:cs="Tahoma"/>
              </w:rPr>
            </w:pPr>
          </w:p>
        </w:tc>
      </w:tr>
      <w:tr w:rsidR="00675324" w:rsidRPr="00A8795E">
        <w:tc>
          <w:tcPr>
            <w:tcW w:w="6096" w:type="dxa"/>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Appointments (voluntary or otherwise) e.g. trusteeship, directorship, local authority membership, tribunals, etc.</w:t>
            </w:r>
          </w:p>
        </w:tc>
        <w:tc>
          <w:tcPr>
            <w:tcW w:w="4678" w:type="dxa"/>
          </w:tcPr>
          <w:p w:rsidR="00675324" w:rsidRPr="00A8795E" w:rsidRDefault="00675324" w:rsidP="00A8795E">
            <w:pPr>
              <w:autoSpaceDE w:val="0"/>
              <w:autoSpaceDN w:val="0"/>
              <w:adjustRightInd w:val="0"/>
              <w:jc w:val="both"/>
              <w:rPr>
                <w:rFonts w:ascii="Sylfaen" w:hAnsi="Sylfaen" w:cs="Tahoma"/>
              </w:rPr>
            </w:pPr>
          </w:p>
        </w:tc>
      </w:tr>
      <w:tr w:rsidR="00675324" w:rsidRPr="00A8795E">
        <w:tc>
          <w:tcPr>
            <w:tcW w:w="6096" w:type="dxa"/>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Membership of professional bodes, special interest groups and mutual support organisations</w:t>
            </w:r>
          </w:p>
        </w:tc>
        <w:tc>
          <w:tcPr>
            <w:tcW w:w="4678" w:type="dxa"/>
          </w:tcPr>
          <w:p w:rsidR="00675324" w:rsidRPr="00A8795E" w:rsidRDefault="00675324" w:rsidP="00A8795E">
            <w:pPr>
              <w:autoSpaceDE w:val="0"/>
              <w:autoSpaceDN w:val="0"/>
              <w:adjustRightInd w:val="0"/>
              <w:jc w:val="both"/>
              <w:rPr>
                <w:rFonts w:ascii="Sylfaen" w:hAnsi="Sylfaen" w:cs="Tahoma"/>
              </w:rPr>
            </w:pPr>
          </w:p>
        </w:tc>
      </w:tr>
      <w:tr w:rsidR="00675324" w:rsidRPr="00A8795E">
        <w:tc>
          <w:tcPr>
            <w:tcW w:w="6096" w:type="dxa"/>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Investments in unlisted companies, partnerships and other forms of business, major shareholdings and beneficial interests</w:t>
            </w:r>
          </w:p>
        </w:tc>
        <w:tc>
          <w:tcPr>
            <w:tcW w:w="4678" w:type="dxa"/>
          </w:tcPr>
          <w:p w:rsidR="00675324" w:rsidRPr="00A8795E" w:rsidRDefault="00675324" w:rsidP="00A8795E">
            <w:pPr>
              <w:autoSpaceDE w:val="0"/>
              <w:autoSpaceDN w:val="0"/>
              <w:adjustRightInd w:val="0"/>
              <w:jc w:val="both"/>
              <w:rPr>
                <w:rFonts w:ascii="Sylfaen" w:hAnsi="Sylfaen" w:cs="Tahoma"/>
              </w:rPr>
            </w:pPr>
          </w:p>
        </w:tc>
      </w:tr>
      <w:tr w:rsidR="00675324" w:rsidRPr="00A8795E">
        <w:tc>
          <w:tcPr>
            <w:tcW w:w="6096" w:type="dxa"/>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 xml:space="preserve">Gifts or hospitality offered to you by external bodies and whether these were declined or accepted in the last 12 months. </w:t>
            </w:r>
          </w:p>
        </w:tc>
        <w:tc>
          <w:tcPr>
            <w:tcW w:w="4678" w:type="dxa"/>
          </w:tcPr>
          <w:p w:rsidR="00675324" w:rsidRPr="00A8795E" w:rsidRDefault="00675324" w:rsidP="00A8795E">
            <w:pPr>
              <w:autoSpaceDE w:val="0"/>
              <w:autoSpaceDN w:val="0"/>
              <w:adjustRightInd w:val="0"/>
              <w:jc w:val="both"/>
              <w:rPr>
                <w:rFonts w:ascii="Sylfaen" w:hAnsi="Sylfaen" w:cs="Tahoma"/>
              </w:rPr>
            </w:pPr>
          </w:p>
        </w:tc>
      </w:tr>
      <w:tr w:rsidR="00675324" w:rsidRPr="00A8795E">
        <w:tc>
          <w:tcPr>
            <w:tcW w:w="6096" w:type="dxa"/>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Do you use, or care for a user of the organisations services?</w:t>
            </w:r>
          </w:p>
        </w:tc>
        <w:tc>
          <w:tcPr>
            <w:tcW w:w="4678" w:type="dxa"/>
          </w:tcPr>
          <w:p w:rsidR="00675324" w:rsidRPr="00A8795E" w:rsidRDefault="00675324" w:rsidP="00A8795E">
            <w:pPr>
              <w:autoSpaceDE w:val="0"/>
              <w:autoSpaceDN w:val="0"/>
              <w:adjustRightInd w:val="0"/>
              <w:jc w:val="both"/>
              <w:rPr>
                <w:rFonts w:ascii="Sylfaen" w:hAnsi="Sylfaen" w:cs="Tahoma"/>
              </w:rPr>
            </w:pPr>
          </w:p>
          <w:p w:rsidR="00675324" w:rsidRPr="00A8795E" w:rsidRDefault="00675324" w:rsidP="00A8795E">
            <w:pPr>
              <w:autoSpaceDE w:val="0"/>
              <w:autoSpaceDN w:val="0"/>
              <w:adjustRightInd w:val="0"/>
              <w:jc w:val="both"/>
              <w:rPr>
                <w:rFonts w:ascii="Sylfaen" w:hAnsi="Sylfaen" w:cs="Tahoma"/>
              </w:rPr>
            </w:pPr>
          </w:p>
        </w:tc>
      </w:tr>
      <w:tr w:rsidR="00675324" w:rsidRPr="00A8795E">
        <w:tc>
          <w:tcPr>
            <w:tcW w:w="6096" w:type="dxa"/>
          </w:tcPr>
          <w:p w:rsidR="00675324" w:rsidRDefault="007E698E" w:rsidP="00A8795E">
            <w:pPr>
              <w:autoSpaceDE w:val="0"/>
              <w:autoSpaceDN w:val="0"/>
              <w:adjustRightInd w:val="0"/>
              <w:jc w:val="both"/>
              <w:rPr>
                <w:rFonts w:ascii="Sylfaen" w:hAnsi="Sylfaen" w:cs="Tahoma"/>
              </w:rPr>
            </w:pPr>
            <w:r w:rsidRPr="00A8795E">
              <w:rPr>
                <w:rFonts w:ascii="Sylfaen" w:hAnsi="Sylfaen" w:cs="Tahoma"/>
              </w:rPr>
              <w:t>Any contractual relationship with the charity or its subsidiary.</w:t>
            </w:r>
          </w:p>
          <w:p w:rsidR="00A8795E" w:rsidRPr="00A8795E" w:rsidRDefault="00A8795E" w:rsidP="00A8795E">
            <w:pPr>
              <w:autoSpaceDE w:val="0"/>
              <w:autoSpaceDN w:val="0"/>
              <w:adjustRightInd w:val="0"/>
              <w:jc w:val="both"/>
              <w:rPr>
                <w:rFonts w:ascii="Sylfaen" w:hAnsi="Sylfaen" w:cs="Tahoma"/>
              </w:rPr>
            </w:pPr>
          </w:p>
        </w:tc>
        <w:tc>
          <w:tcPr>
            <w:tcW w:w="4678" w:type="dxa"/>
          </w:tcPr>
          <w:p w:rsidR="00675324" w:rsidRPr="00A8795E" w:rsidRDefault="00675324" w:rsidP="00A8795E">
            <w:pPr>
              <w:autoSpaceDE w:val="0"/>
              <w:autoSpaceDN w:val="0"/>
              <w:adjustRightInd w:val="0"/>
              <w:jc w:val="both"/>
              <w:rPr>
                <w:rFonts w:ascii="Sylfaen" w:hAnsi="Sylfaen" w:cs="Tahoma"/>
              </w:rPr>
            </w:pPr>
          </w:p>
        </w:tc>
      </w:tr>
      <w:tr w:rsidR="00675324" w:rsidRPr="00A8795E">
        <w:tc>
          <w:tcPr>
            <w:tcW w:w="6096" w:type="dxa"/>
          </w:tcPr>
          <w:p w:rsidR="00675324" w:rsidRPr="00A8795E" w:rsidRDefault="007E698E" w:rsidP="00A8795E">
            <w:pPr>
              <w:autoSpaceDE w:val="0"/>
              <w:autoSpaceDN w:val="0"/>
              <w:adjustRightInd w:val="0"/>
              <w:jc w:val="both"/>
              <w:rPr>
                <w:rFonts w:ascii="Sylfaen" w:hAnsi="Sylfaen" w:cs="Tahoma"/>
              </w:rPr>
            </w:pPr>
            <w:r w:rsidRPr="00A8795E">
              <w:rPr>
                <w:rFonts w:ascii="Sylfaen" w:hAnsi="Sylfaen" w:cs="Tahoma"/>
              </w:rPr>
              <w:t xml:space="preserve">Any other conflicts that are not covered by the above. </w:t>
            </w:r>
          </w:p>
          <w:p w:rsidR="00675324" w:rsidRPr="00A8795E" w:rsidRDefault="00675324" w:rsidP="00A8795E">
            <w:pPr>
              <w:autoSpaceDE w:val="0"/>
              <w:autoSpaceDN w:val="0"/>
              <w:adjustRightInd w:val="0"/>
              <w:jc w:val="both"/>
              <w:rPr>
                <w:rFonts w:ascii="Sylfaen" w:hAnsi="Sylfaen" w:cs="Tahoma"/>
              </w:rPr>
            </w:pPr>
          </w:p>
        </w:tc>
        <w:tc>
          <w:tcPr>
            <w:tcW w:w="4678" w:type="dxa"/>
          </w:tcPr>
          <w:p w:rsidR="00675324" w:rsidRPr="00A8795E" w:rsidRDefault="00675324" w:rsidP="00A8795E">
            <w:pPr>
              <w:autoSpaceDE w:val="0"/>
              <w:autoSpaceDN w:val="0"/>
              <w:adjustRightInd w:val="0"/>
              <w:jc w:val="both"/>
              <w:rPr>
                <w:rFonts w:ascii="Sylfaen" w:hAnsi="Sylfaen" w:cs="Tahoma"/>
              </w:rPr>
            </w:pPr>
          </w:p>
        </w:tc>
      </w:tr>
    </w:tbl>
    <w:p w:rsidR="00675324" w:rsidRPr="00A8795E" w:rsidRDefault="00675324" w:rsidP="00A8795E">
      <w:pPr>
        <w:autoSpaceDE w:val="0"/>
        <w:autoSpaceDN w:val="0"/>
        <w:adjustRightInd w:val="0"/>
        <w:spacing w:after="0" w:line="36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To the best of my knowledge, the above information is complete and correct. I undertake to update as necessary the information provided and to review the accuracy of the information on an annual basis. I give my consent for it to be used for the purposes described in the conflicts of interest policy and no other purpose. </w:t>
      </w:r>
    </w:p>
    <w:p w:rsidR="00675324" w:rsidRPr="00A8795E" w:rsidRDefault="00675324" w:rsidP="00A8795E">
      <w:pPr>
        <w:autoSpaceDE w:val="0"/>
        <w:autoSpaceDN w:val="0"/>
        <w:adjustRightInd w:val="0"/>
        <w:spacing w:after="0" w:line="360" w:lineRule="auto"/>
        <w:jc w:val="both"/>
        <w:rPr>
          <w:rFonts w:ascii="Sylfaen" w:hAnsi="Sylfaen" w:cs="Tahoma"/>
        </w:rPr>
      </w:pPr>
    </w:p>
    <w:p w:rsidR="00675324" w:rsidRPr="00A8795E" w:rsidRDefault="007E698E" w:rsidP="00A8795E">
      <w:pPr>
        <w:autoSpaceDE w:val="0"/>
        <w:autoSpaceDN w:val="0"/>
        <w:adjustRightInd w:val="0"/>
        <w:spacing w:after="0" w:line="240" w:lineRule="auto"/>
        <w:jc w:val="both"/>
        <w:rPr>
          <w:rFonts w:ascii="Sylfaen" w:hAnsi="Sylfaen" w:cs="Tahoma"/>
        </w:rPr>
      </w:pPr>
      <w:r w:rsidRPr="00A8795E">
        <w:rPr>
          <w:rFonts w:ascii="Sylfaen" w:hAnsi="Sylfaen" w:cs="Tahoma"/>
        </w:rPr>
        <w:t xml:space="preserve">I understand that the information provided will be held in accordance with James Marks Academy Trust privacy policy. </w:t>
      </w:r>
    </w:p>
    <w:p w:rsidR="00675324" w:rsidRPr="00A8795E" w:rsidRDefault="00675324" w:rsidP="00A8795E">
      <w:pPr>
        <w:autoSpaceDE w:val="0"/>
        <w:autoSpaceDN w:val="0"/>
        <w:adjustRightInd w:val="0"/>
        <w:spacing w:after="0" w:line="360" w:lineRule="auto"/>
        <w:jc w:val="both"/>
        <w:rPr>
          <w:rFonts w:ascii="Sylfaen" w:hAnsi="Sylfaen" w:cs="Tahoma"/>
        </w:rPr>
      </w:pPr>
    </w:p>
    <w:p w:rsidR="00675324" w:rsidRPr="00A8795E" w:rsidRDefault="007E698E" w:rsidP="00A8795E">
      <w:pPr>
        <w:autoSpaceDE w:val="0"/>
        <w:autoSpaceDN w:val="0"/>
        <w:adjustRightInd w:val="0"/>
        <w:spacing w:after="0" w:line="360" w:lineRule="auto"/>
        <w:jc w:val="both"/>
        <w:rPr>
          <w:rFonts w:ascii="Sylfaen" w:hAnsi="Sylfaen" w:cs="Tahoma"/>
        </w:rPr>
      </w:pPr>
      <w:r w:rsidRPr="00A8795E">
        <w:rPr>
          <w:rFonts w:ascii="Sylfaen" w:hAnsi="Sylfaen" w:cs="Tahoma"/>
        </w:rPr>
        <w:t>Signed                                                                     Date</w:t>
      </w:r>
    </w:p>
    <w:p w:rsidR="00675324" w:rsidRPr="00A8795E" w:rsidRDefault="00675324" w:rsidP="00A8795E">
      <w:pPr>
        <w:autoSpaceDE w:val="0"/>
        <w:autoSpaceDN w:val="0"/>
        <w:adjustRightInd w:val="0"/>
        <w:spacing w:after="0" w:line="360" w:lineRule="auto"/>
        <w:jc w:val="both"/>
        <w:rPr>
          <w:rFonts w:ascii="Sylfaen" w:hAnsi="Sylfaen" w:cs="Tahoma"/>
        </w:rPr>
      </w:pPr>
    </w:p>
    <w:p w:rsidR="00675324" w:rsidRPr="00A8795E" w:rsidRDefault="00675324" w:rsidP="00A8795E">
      <w:pPr>
        <w:autoSpaceDE w:val="0"/>
        <w:autoSpaceDN w:val="0"/>
        <w:adjustRightInd w:val="0"/>
        <w:spacing w:after="0" w:line="360" w:lineRule="auto"/>
        <w:jc w:val="both"/>
        <w:rPr>
          <w:rFonts w:ascii="Sylfaen" w:hAnsi="Sylfaen" w:cs="Tahoma"/>
        </w:rPr>
      </w:pPr>
    </w:p>
    <w:p w:rsidR="00675324" w:rsidRPr="00A8795E" w:rsidRDefault="007E698E" w:rsidP="00A8795E">
      <w:pPr>
        <w:autoSpaceDE w:val="0"/>
        <w:autoSpaceDN w:val="0"/>
        <w:adjustRightInd w:val="0"/>
        <w:spacing w:after="0" w:line="360" w:lineRule="auto"/>
        <w:jc w:val="both"/>
        <w:rPr>
          <w:rFonts w:ascii="Sylfaen" w:hAnsi="Sylfaen" w:cs="Tahoma"/>
        </w:rPr>
      </w:pPr>
      <w:r w:rsidRPr="00A8795E">
        <w:rPr>
          <w:rFonts w:ascii="Sylfaen" w:hAnsi="Sylfaen" w:cs="Tahoma"/>
        </w:rPr>
        <w:lastRenderedPageBreak/>
        <w:t>Position</w:t>
      </w: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noProof/>
          <w:lang w:eastAsia="en-GB"/>
        </w:rPr>
        <w:drawing>
          <wp:anchor distT="0" distB="0" distL="114300" distR="114300" simplePos="0" relativeHeight="251662336" behindDoc="1" locked="0" layoutInCell="1" allowOverlap="1">
            <wp:simplePos x="0" y="0"/>
            <wp:positionH relativeFrom="column">
              <wp:posOffset>-261620</wp:posOffset>
            </wp:positionH>
            <wp:positionV relativeFrom="paragraph">
              <wp:posOffset>0</wp:posOffset>
            </wp:positionV>
            <wp:extent cx="853440" cy="831215"/>
            <wp:effectExtent l="0" t="0" r="3810" b="6985"/>
            <wp:wrapTight wrapText="bothSides">
              <wp:wrapPolygon edited="0">
                <wp:start x="6268" y="0"/>
                <wp:lineTo x="3375" y="1485"/>
                <wp:lineTo x="0" y="5445"/>
                <wp:lineTo x="0" y="17821"/>
                <wp:lineTo x="5786" y="21286"/>
                <wp:lineTo x="8679" y="21286"/>
                <wp:lineTo x="12536" y="21286"/>
                <wp:lineTo x="15429" y="21286"/>
                <wp:lineTo x="21214" y="17821"/>
                <wp:lineTo x="21214" y="5445"/>
                <wp:lineTo x="17839" y="1485"/>
                <wp:lineTo x="14946" y="0"/>
                <wp:lineTo x="626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jmat-full-cmyk.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853440" cy="831215"/>
                    </a:xfrm>
                    <a:prstGeom prst="rect">
                      <a:avLst/>
                    </a:prstGeom>
                  </pic:spPr>
                </pic:pic>
              </a:graphicData>
            </a:graphic>
            <wp14:sizeRelH relativeFrom="page">
              <wp14:pctWidth>0</wp14:pctWidth>
            </wp14:sizeRelH>
            <wp14:sizeRelV relativeFrom="page">
              <wp14:pctHeight>0</wp14:pctHeight>
            </wp14:sizeRelV>
          </wp:anchor>
        </w:drawing>
      </w:r>
    </w:p>
    <w:p w:rsidR="00675324" w:rsidRPr="00A8795E" w:rsidRDefault="00675324" w:rsidP="00A8795E">
      <w:pPr>
        <w:autoSpaceDE w:val="0"/>
        <w:autoSpaceDN w:val="0"/>
        <w:adjustRightInd w:val="0"/>
        <w:spacing w:after="0" w:line="240" w:lineRule="auto"/>
        <w:jc w:val="both"/>
        <w:rPr>
          <w:rFonts w:ascii="Sylfaen" w:hAnsi="Sylfaen" w:cs="Tahoma"/>
          <w:b/>
        </w:rPr>
      </w:pPr>
    </w:p>
    <w:p w:rsidR="00675324" w:rsidRPr="00A8795E" w:rsidRDefault="007E698E" w:rsidP="00A8795E">
      <w:pPr>
        <w:autoSpaceDE w:val="0"/>
        <w:autoSpaceDN w:val="0"/>
        <w:adjustRightInd w:val="0"/>
        <w:spacing w:after="0" w:line="240" w:lineRule="auto"/>
        <w:jc w:val="both"/>
        <w:rPr>
          <w:rFonts w:ascii="Sylfaen" w:hAnsi="Sylfaen" w:cs="Tahoma"/>
          <w:b/>
        </w:rPr>
      </w:pPr>
      <w:r w:rsidRPr="00A8795E">
        <w:rPr>
          <w:rFonts w:ascii="Sylfaen" w:hAnsi="Sylfaen" w:cs="Tahoma"/>
          <w:b/>
        </w:rPr>
        <w:t>Specimen Register of Interests (England and Wales)</w:t>
      </w:r>
    </w:p>
    <w:p w:rsidR="00675324" w:rsidRPr="00A8795E" w:rsidRDefault="00675324" w:rsidP="00A8795E">
      <w:pPr>
        <w:autoSpaceDE w:val="0"/>
        <w:autoSpaceDN w:val="0"/>
        <w:adjustRightInd w:val="0"/>
        <w:spacing w:after="0" w:line="240" w:lineRule="auto"/>
        <w:jc w:val="both"/>
        <w:rPr>
          <w:rFonts w:ascii="Sylfaen" w:hAnsi="Sylfaen" w:cs="Tahoma"/>
          <w:b/>
        </w:rPr>
      </w:pPr>
    </w:p>
    <w:p w:rsidR="00675324" w:rsidRPr="00A8795E" w:rsidRDefault="00675324" w:rsidP="00A8795E">
      <w:pPr>
        <w:autoSpaceDE w:val="0"/>
        <w:autoSpaceDN w:val="0"/>
        <w:adjustRightInd w:val="0"/>
        <w:spacing w:after="0" w:line="240" w:lineRule="auto"/>
        <w:jc w:val="both"/>
        <w:rPr>
          <w:rFonts w:ascii="Sylfaen" w:hAnsi="Sylfaen" w:cs="Tahoma"/>
          <w:b/>
        </w:rPr>
      </w:pPr>
    </w:p>
    <w:p w:rsidR="00675324" w:rsidRPr="00A8795E" w:rsidRDefault="00675324" w:rsidP="00A8795E">
      <w:pPr>
        <w:autoSpaceDE w:val="0"/>
        <w:autoSpaceDN w:val="0"/>
        <w:adjustRightInd w:val="0"/>
        <w:spacing w:after="0" w:line="240" w:lineRule="auto"/>
        <w:jc w:val="both"/>
        <w:rPr>
          <w:rFonts w:ascii="Sylfaen" w:hAnsi="Sylfaen" w:cs="Tahoma"/>
          <w:b/>
        </w:rPr>
      </w:pPr>
    </w:p>
    <w:tbl>
      <w:tblPr>
        <w:tblStyle w:val="TableGrid"/>
        <w:tblW w:w="11062" w:type="dxa"/>
        <w:tblInd w:w="-998" w:type="dxa"/>
        <w:tblLook w:val="04A0" w:firstRow="1" w:lastRow="0" w:firstColumn="1" w:lastColumn="0" w:noHBand="0" w:noVBand="1"/>
      </w:tblPr>
      <w:tblGrid>
        <w:gridCol w:w="2127"/>
        <w:gridCol w:w="2835"/>
        <w:gridCol w:w="3584"/>
        <w:gridCol w:w="2516"/>
      </w:tblGrid>
      <w:tr w:rsidR="00675324" w:rsidRPr="00A8795E">
        <w:trPr>
          <w:trHeight w:val="864"/>
        </w:trPr>
        <w:tc>
          <w:tcPr>
            <w:tcW w:w="2127" w:type="dxa"/>
            <w:shd w:val="clear" w:color="auto" w:fill="BDD6EE" w:themeFill="accent1" w:themeFillTint="66"/>
          </w:tcPr>
          <w:p w:rsidR="00675324" w:rsidRPr="00A8795E" w:rsidRDefault="007E698E" w:rsidP="00A8795E">
            <w:pPr>
              <w:autoSpaceDE w:val="0"/>
              <w:autoSpaceDN w:val="0"/>
              <w:adjustRightInd w:val="0"/>
              <w:jc w:val="both"/>
              <w:rPr>
                <w:rFonts w:ascii="Sylfaen" w:hAnsi="Sylfaen" w:cs="Tahoma"/>
                <w:b/>
              </w:rPr>
            </w:pPr>
            <w:r w:rsidRPr="00A8795E">
              <w:rPr>
                <w:rFonts w:ascii="Sylfaen" w:hAnsi="Sylfaen" w:cs="Tahoma"/>
                <w:b/>
              </w:rPr>
              <w:t xml:space="preserve">Name </w:t>
            </w:r>
          </w:p>
        </w:tc>
        <w:tc>
          <w:tcPr>
            <w:tcW w:w="2835" w:type="dxa"/>
            <w:shd w:val="clear" w:color="auto" w:fill="BDD6EE" w:themeFill="accent1" w:themeFillTint="66"/>
          </w:tcPr>
          <w:p w:rsidR="00675324" w:rsidRPr="00A8795E" w:rsidRDefault="007E698E" w:rsidP="00A8795E">
            <w:pPr>
              <w:autoSpaceDE w:val="0"/>
              <w:autoSpaceDN w:val="0"/>
              <w:adjustRightInd w:val="0"/>
              <w:jc w:val="both"/>
              <w:rPr>
                <w:rFonts w:ascii="Sylfaen" w:hAnsi="Sylfaen" w:cs="Tahoma"/>
                <w:b/>
              </w:rPr>
            </w:pPr>
            <w:r w:rsidRPr="00A8795E">
              <w:rPr>
                <w:rFonts w:ascii="Sylfaen" w:hAnsi="Sylfaen" w:cs="Tahoma"/>
                <w:b/>
              </w:rPr>
              <w:t>Description of Interest</w:t>
            </w:r>
          </w:p>
        </w:tc>
        <w:tc>
          <w:tcPr>
            <w:tcW w:w="3584" w:type="dxa"/>
            <w:shd w:val="clear" w:color="auto" w:fill="BDD6EE" w:themeFill="accent1" w:themeFillTint="66"/>
          </w:tcPr>
          <w:p w:rsidR="00675324" w:rsidRPr="00A8795E" w:rsidRDefault="007E698E" w:rsidP="00A8795E">
            <w:pPr>
              <w:autoSpaceDE w:val="0"/>
              <w:autoSpaceDN w:val="0"/>
              <w:adjustRightInd w:val="0"/>
              <w:jc w:val="both"/>
              <w:rPr>
                <w:rFonts w:ascii="Sylfaen" w:hAnsi="Sylfaen" w:cs="Tahoma"/>
                <w:b/>
              </w:rPr>
            </w:pPr>
            <w:r w:rsidRPr="00A8795E">
              <w:rPr>
                <w:rFonts w:ascii="Sylfaen" w:hAnsi="Sylfaen" w:cs="Tahoma"/>
                <w:b/>
              </w:rPr>
              <w:t>Does the interest relate to the person or a person closely connected? Describe</w:t>
            </w:r>
          </w:p>
        </w:tc>
        <w:tc>
          <w:tcPr>
            <w:tcW w:w="2516" w:type="dxa"/>
            <w:shd w:val="clear" w:color="auto" w:fill="BDD6EE" w:themeFill="accent1" w:themeFillTint="66"/>
          </w:tcPr>
          <w:p w:rsidR="00675324" w:rsidRPr="00A8795E" w:rsidRDefault="007E698E" w:rsidP="00A8795E">
            <w:pPr>
              <w:autoSpaceDE w:val="0"/>
              <w:autoSpaceDN w:val="0"/>
              <w:adjustRightInd w:val="0"/>
              <w:jc w:val="both"/>
              <w:rPr>
                <w:rFonts w:ascii="Sylfaen" w:hAnsi="Sylfaen" w:cs="Tahoma"/>
                <w:b/>
              </w:rPr>
            </w:pPr>
            <w:r w:rsidRPr="00A8795E">
              <w:rPr>
                <w:rFonts w:ascii="Sylfaen" w:hAnsi="Sylfaen" w:cs="Tahoma"/>
                <w:b/>
              </w:rPr>
              <w:t>Is the interest current?</w:t>
            </w:r>
          </w:p>
        </w:tc>
      </w:tr>
      <w:tr w:rsidR="00675324" w:rsidRPr="00A8795E">
        <w:trPr>
          <w:trHeight w:val="236"/>
        </w:trPr>
        <w:tc>
          <w:tcPr>
            <w:tcW w:w="2127"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Mr T Smith</w:t>
            </w:r>
          </w:p>
        </w:tc>
        <w:tc>
          <w:tcPr>
            <w:tcW w:w="2835"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Joint owner of catering company</w:t>
            </w:r>
          </w:p>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Member of the local authority</w:t>
            </w:r>
          </w:p>
        </w:tc>
        <w:tc>
          <w:tcPr>
            <w:tcW w:w="3584"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Trustee, other joint owner is trustee’s daughter</w:t>
            </w:r>
          </w:p>
          <w:p w:rsidR="00675324" w:rsidRPr="00A8795E" w:rsidRDefault="00675324" w:rsidP="00A8795E">
            <w:pPr>
              <w:autoSpaceDE w:val="0"/>
              <w:autoSpaceDN w:val="0"/>
              <w:adjustRightInd w:val="0"/>
              <w:jc w:val="both"/>
              <w:rPr>
                <w:rFonts w:ascii="Sylfaen" w:hAnsi="Sylfaen" w:cs="Tahoma"/>
                <w:i/>
                <w:color w:val="C9C9C9" w:themeColor="accent3" w:themeTint="99"/>
              </w:rPr>
            </w:pPr>
          </w:p>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 xml:space="preserve">Trustee. </w:t>
            </w:r>
          </w:p>
        </w:tc>
        <w:tc>
          <w:tcPr>
            <w:tcW w:w="2516"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Current</w:t>
            </w:r>
          </w:p>
          <w:p w:rsidR="00675324" w:rsidRPr="00A8795E" w:rsidRDefault="00675324" w:rsidP="00A8795E">
            <w:pPr>
              <w:autoSpaceDE w:val="0"/>
              <w:autoSpaceDN w:val="0"/>
              <w:adjustRightInd w:val="0"/>
              <w:jc w:val="both"/>
              <w:rPr>
                <w:rFonts w:ascii="Sylfaen" w:hAnsi="Sylfaen" w:cs="Tahoma"/>
                <w:i/>
                <w:color w:val="C9C9C9" w:themeColor="accent3" w:themeTint="99"/>
              </w:rPr>
            </w:pPr>
          </w:p>
          <w:p w:rsidR="00675324" w:rsidRPr="00A8795E" w:rsidRDefault="00675324" w:rsidP="00A8795E">
            <w:pPr>
              <w:autoSpaceDE w:val="0"/>
              <w:autoSpaceDN w:val="0"/>
              <w:adjustRightInd w:val="0"/>
              <w:jc w:val="both"/>
              <w:rPr>
                <w:rFonts w:ascii="Sylfaen" w:hAnsi="Sylfaen" w:cs="Tahoma"/>
                <w:i/>
                <w:color w:val="C9C9C9" w:themeColor="accent3" w:themeTint="99"/>
              </w:rPr>
            </w:pPr>
          </w:p>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Current</w:t>
            </w:r>
          </w:p>
        </w:tc>
      </w:tr>
      <w:tr w:rsidR="00675324" w:rsidRPr="00A8795E">
        <w:trPr>
          <w:trHeight w:val="254"/>
        </w:trPr>
        <w:tc>
          <w:tcPr>
            <w:tcW w:w="2127"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Mrs A Jones</w:t>
            </w:r>
          </w:p>
        </w:tc>
        <w:tc>
          <w:tcPr>
            <w:tcW w:w="2835"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Employee of ABC charity with similar aims and objectives working in the same area</w:t>
            </w:r>
          </w:p>
        </w:tc>
        <w:tc>
          <w:tcPr>
            <w:tcW w:w="3584"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Trustee</w:t>
            </w:r>
          </w:p>
        </w:tc>
        <w:tc>
          <w:tcPr>
            <w:tcW w:w="2516"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No, Trustee resigned post in 1999</w:t>
            </w:r>
          </w:p>
        </w:tc>
      </w:tr>
      <w:tr w:rsidR="00675324" w:rsidRPr="00A8795E">
        <w:trPr>
          <w:trHeight w:val="254"/>
        </w:trPr>
        <w:tc>
          <w:tcPr>
            <w:tcW w:w="2127"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Mr A Wright</w:t>
            </w:r>
          </w:p>
        </w:tc>
        <w:tc>
          <w:tcPr>
            <w:tcW w:w="2835"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Trustee of XYZ charity</w:t>
            </w:r>
          </w:p>
        </w:tc>
        <w:tc>
          <w:tcPr>
            <w:tcW w:w="3584"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Trustee</w:t>
            </w:r>
          </w:p>
        </w:tc>
        <w:tc>
          <w:tcPr>
            <w:tcW w:w="2516"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Current</w:t>
            </w:r>
          </w:p>
          <w:p w:rsidR="00675324" w:rsidRPr="00A8795E" w:rsidRDefault="00675324" w:rsidP="00A8795E">
            <w:pPr>
              <w:autoSpaceDE w:val="0"/>
              <w:autoSpaceDN w:val="0"/>
              <w:adjustRightInd w:val="0"/>
              <w:jc w:val="both"/>
              <w:rPr>
                <w:rFonts w:ascii="Sylfaen" w:hAnsi="Sylfaen" w:cs="Tahoma"/>
                <w:i/>
                <w:color w:val="C9C9C9" w:themeColor="accent3" w:themeTint="99"/>
              </w:rPr>
            </w:pPr>
          </w:p>
        </w:tc>
      </w:tr>
      <w:tr w:rsidR="00675324" w:rsidRPr="00A8795E">
        <w:trPr>
          <w:trHeight w:val="254"/>
        </w:trPr>
        <w:tc>
          <w:tcPr>
            <w:tcW w:w="2127"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Miss R Clifford</w:t>
            </w:r>
          </w:p>
        </w:tc>
        <w:tc>
          <w:tcPr>
            <w:tcW w:w="2835"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Was bought lunch to value of £40 by representative of photocopying machine supplier</w:t>
            </w:r>
          </w:p>
        </w:tc>
        <w:tc>
          <w:tcPr>
            <w:tcW w:w="3584"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Trustee</w:t>
            </w:r>
          </w:p>
        </w:tc>
        <w:tc>
          <w:tcPr>
            <w:tcW w:w="2516" w:type="dxa"/>
          </w:tcPr>
          <w:p w:rsidR="00675324" w:rsidRPr="00A8795E" w:rsidRDefault="007E698E" w:rsidP="00A8795E">
            <w:pPr>
              <w:autoSpaceDE w:val="0"/>
              <w:autoSpaceDN w:val="0"/>
              <w:adjustRightInd w:val="0"/>
              <w:jc w:val="both"/>
              <w:rPr>
                <w:rFonts w:ascii="Sylfaen" w:hAnsi="Sylfaen" w:cs="Tahoma"/>
                <w:i/>
                <w:color w:val="C9C9C9" w:themeColor="accent3" w:themeTint="99"/>
              </w:rPr>
            </w:pPr>
            <w:r w:rsidRPr="00A8795E">
              <w:rPr>
                <w:rFonts w:ascii="Sylfaen" w:hAnsi="Sylfaen" w:cs="Tahoma"/>
                <w:i/>
                <w:color w:val="C9C9C9" w:themeColor="accent3" w:themeTint="99"/>
              </w:rPr>
              <w:t>Current</w:t>
            </w:r>
          </w:p>
        </w:tc>
      </w:tr>
    </w:tbl>
    <w:p w:rsidR="00675324" w:rsidRPr="00A8795E" w:rsidRDefault="00675324" w:rsidP="00A8795E">
      <w:pPr>
        <w:autoSpaceDE w:val="0"/>
        <w:autoSpaceDN w:val="0"/>
        <w:adjustRightInd w:val="0"/>
        <w:spacing w:after="0" w:line="240" w:lineRule="auto"/>
        <w:jc w:val="both"/>
        <w:rPr>
          <w:rFonts w:ascii="Sylfaen" w:hAnsi="Sylfaen" w:cs="Tahoma"/>
        </w:rPr>
      </w:pPr>
    </w:p>
    <w:p w:rsidR="00675324" w:rsidRPr="00A8795E" w:rsidRDefault="00675324" w:rsidP="00A8795E">
      <w:pPr>
        <w:autoSpaceDE w:val="0"/>
        <w:autoSpaceDN w:val="0"/>
        <w:adjustRightInd w:val="0"/>
        <w:spacing w:after="0" w:line="360" w:lineRule="auto"/>
        <w:jc w:val="both"/>
        <w:rPr>
          <w:rFonts w:ascii="Sylfaen" w:hAnsi="Sylfaen" w:cs="Tahoma"/>
        </w:rPr>
      </w:pPr>
    </w:p>
    <w:sectPr w:rsidR="00675324" w:rsidRPr="00A879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Ligh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76EA3"/>
    <w:multiLevelType w:val="hybridMultilevel"/>
    <w:tmpl w:val="5FEEA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3F69F5"/>
    <w:multiLevelType w:val="hybridMultilevel"/>
    <w:tmpl w:val="5EECF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B519DA"/>
    <w:multiLevelType w:val="hybridMultilevel"/>
    <w:tmpl w:val="E9FC30D0"/>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6F3CF0"/>
    <w:multiLevelType w:val="hybridMultilevel"/>
    <w:tmpl w:val="27FAE3E6"/>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8638DE"/>
    <w:multiLevelType w:val="hybridMultilevel"/>
    <w:tmpl w:val="BF362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C349DE"/>
    <w:multiLevelType w:val="hybridMultilevel"/>
    <w:tmpl w:val="3F8C3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121619"/>
    <w:multiLevelType w:val="hybridMultilevel"/>
    <w:tmpl w:val="C9E28446"/>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DA649B"/>
    <w:multiLevelType w:val="hybridMultilevel"/>
    <w:tmpl w:val="C66A6A62"/>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937EF3"/>
    <w:multiLevelType w:val="hybridMultilevel"/>
    <w:tmpl w:val="7B3ACDBA"/>
    <w:lvl w:ilvl="0" w:tplc="3B489346">
      <w:start w:val="5"/>
      <w:numFmt w:val="bullet"/>
      <w:lvlText w:val="-"/>
      <w:lvlJc w:val="left"/>
      <w:pPr>
        <w:ind w:left="862" w:hanging="360"/>
      </w:pPr>
      <w:rPr>
        <w:rFonts w:ascii="Frutiger-Light" w:eastAsiaTheme="minorHAnsi" w:hAnsi="Frutiger-Light" w:cs="Frutiger-Light"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41843267"/>
    <w:multiLevelType w:val="hybridMultilevel"/>
    <w:tmpl w:val="9564C260"/>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FCD3CF5"/>
    <w:multiLevelType w:val="hybridMultilevel"/>
    <w:tmpl w:val="8C12F050"/>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FD3B24"/>
    <w:multiLevelType w:val="hybridMultilevel"/>
    <w:tmpl w:val="21540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8820D3"/>
    <w:multiLevelType w:val="hybridMultilevel"/>
    <w:tmpl w:val="C7F4696C"/>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CC289D"/>
    <w:multiLevelType w:val="hybridMultilevel"/>
    <w:tmpl w:val="8C32F67E"/>
    <w:lvl w:ilvl="0" w:tplc="3C4E0664">
      <w:numFmt w:val="bullet"/>
      <w:lvlText w:val="•"/>
      <w:lvlJc w:val="left"/>
      <w:pPr>
        <w:ind w:left="502" w:hanging="360"/>
      </w:pPr>
      <w:rPr>
        <w:rFonts w:ascii="Frutiger-Light" w:eastAsiaTheme="minorHAnsi" w:hAnsi="Frutiger-Light" w:cs="Frutiger-Light"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5602621B"/>
    <w:multiLevelType w:val="hybridMultilevel"/>
    <w:tmpl w:val="BEBE2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5A53E3"/>
    <w:multiLevelType w:val="hybridMultilevel"/>
    <w:tmpl w:val="FAB8FD96"/>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C80110"/>
    <w:multiLevelType w:val="hybridMultilevel"/>
    <w:tmpl w:val="E2E64012"/>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8642EE"/>
    <w:multiLevelType w:val="hybridMultilevel"/>
    <w:tmpl w:val="A8C06064"/>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7C3AD0"/>
    <w:multiLevelType w:val="hybridMultilevel"/>
    <w:tmpl w:val="1B3E9B86"/>
    <w:lvl w:ilvl="0" w:tplc="3B489346">
      <w:start w:val="5"/>
      <w:numFmt w:val="bullet"/>
      <w:lvlText w:val="-"/>
      <w:lvlJc w:val="left"/>
      <w:pPr>
        <w:ind w:left="108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815C5A"/>
    <w:multiLevelType w:val="hybridMultilevel"/>
    <w:tmpl w:val="217AB8A2"/>
    <w:lvl w:ilvl="0" w:tplc="D4123DB2">
      <w:start w:val="5"/>
      <w:numFmt w:val="bullet"/>
      <w:lvlText w:val=""/>
      <w:lvlJc w:val="left"/>
      <w:pPr>
        <w:ind w:left="502" w:hanging="360"/>
      </w:pPr>
      <w:rPr>
        <w:rFonts w:ascii="Symbol" w:eastAsiaTheme="minorHAnsi" w:hAnsi="Symbol" w:cs="Frutiger-Light"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74DD0934"/>
    <w:multiLevelType w:val="hybridMultilevel"/>
    <w:tmpl w:val="712880B4"/>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E202F5"/>
    <w:multiLevelType w:val="hybridMultilevel"/>
    <w:tmpl w:val="6088DB10"/>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E227A6"/>
    <w:multiLevelType w:val="hybridMultilevel"/>
    <w:tmpl w:val="7A4407E6"/>
    <w:lvl w:ilvl="0" w:tplc="3C4E0664">
      <w:numFmt w:val="bullet"/>
      <w:lvlText w:val="•"/>
      <w:lvlJc w:val="left"/>
      <w:pPr>
        <w:ind w:left="720" w:hanging="360"/>
      </w:pPr>
      <w:rPr>
        <w:rFonts w:ascii="Frutiger-Light" w:eastAsiaTheme="minorHAnsi" w:hAnsi="Frutiger-Light" w:cs="Frutiger-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3"/>
  </w:num>
  <w:num w:numId="3">
    <w:abstractNumId w:val="17"/>
  </w:num>
  <w:num w:numId="4">
    <w:abstractNumId w:val="8"/>
  </w:num>
  <w:num w:numId="5">
    <w:abstractNumId w:val="19"/>
  </w:num>
  <w:num w:numId="6">
    <w:abstractNumId w:val="18"/>
  </w:num>
  <w:num w:numId="7">
    <w:abstractNumId w:val="16"/>
  </w:num>
  <w:num w:numId="8">
    <w:abstractNumId w:val="9"/>
  </w:num>
  <w:num w:numId="9">
    <w:abstractNumId w:val="6"/>
  </w:num>
  <w:num w:numId="10">
    <w:abstractNumId w:val="21"/>
  </w:num>
  <w:num w:numId="11">
    <w:abstractNumId w:val="7"/>
  </w:num>
  <w:num w:numId="12">
    <w:abstractNumId w:val="10"/>
  </w:num>
  <w:num w:numId="13">
    <w:abstractNumId w:val="15"/>
  </w:num>
  <w:num w:numId="14">
    <w:abstractNumId w:val="20"/>
  </w:num>
  <w:num w:numId="15">
    <w:abstractNumId w:val="22"/>
  </w:num>
  <w:num w:numId="16">
    <w:abstractNumId w:val="3"/>
  </w:num>
  <w:num w:numId="17">
    <w:abstractNumId w:val="12"/>
  </w:num>
  <w:num w:numId="18">
    <w:abstractNumId w:val="2"/>
  </w:num>
  <w:num w:numId="19">
    <w:abstractNumId w:val="1"/>
  </w:num>
  <w:num w:numId="20">
    <w:abstractNumId w:val="14"/>
  </w:num>
  <w:num w:numId="21">
    <w:abstractNumId w:val="5"/>
  </w:num>
  <w:num w:numId="22">
    <w:abstractNumId w:val="1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324"/>
    <w:rsid w:val="00054563"/>
    <w:rsid w:val="00675324"/>
    <w:rsid w:val="007648D5"/>
    <w:rsid w:val="007E698E"/>
    <w:rsid w:val="00A8795E"/>
    <w:rsid w:val="00EE6B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53F583-EE18-44F6-86A5-588434517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BodyText">
    <w:name w:val="Body Text"/>
    <w:basedOn w:val="Normal"/>
    <w:link w:val="BodyTextChar"/>
    <w:uiPriority w:val="99"/>
    <w:semiHidden/>
    <w:unhideWhenUsed/>
    <w:rsid w:val="00A8795E"/>
    <w:pPr>
      <w:spacing w:after="120" w:line="240" w:lineRule="auto"/>
    </w:pPr>
    <w:rPr>
      <w:rFonts w:ascii="Arial" w:eastAsia="MS Mincho" w:hAnsi="Arial" w:cs="Times New Roman"/>
      <w:sz w:val="20"/>
      <w:szCs w:val="24"/>
      <w:lang w:val="en-US"/>
    </w:rPr>
  </w:style>
  <w:style w:type="character" w:customStyle="1" w:styleId="BodyTextChar">
    <w:name w:val="Body Text Char"/>
    <w:basedOn w:val="DefaultParagraphFont"/>
    <w:link w:val="BodyText"/>
    <w:uiPriority w:val="99"/>
    <w:semiHidden/>
    <w:rsid w:val="00A8795E"/>
    <w:rPr>
      <w:rFonts w:ascii="Arial" w:eastAsia="MS Mincho" w:hAnsi="Arial" w:cs="Times New Roman"/>
      <w:sz w:val="20"/>
      <w:szCs w:val="24"/>
      <w:lang w:val="en-US"/>
    </w:rPr>
  </w:style>
  <w:style w:type="paragraph" w:customStyle="1" w:styleId="Default">
    <w:name w:val="Default"/>
    <w:rsid w:val="00A8795E"/>
    <w:pPr>
      <w:widowControl w:val="0"/>
      <w:autoSpaceDE w:val="0"/>
      <w:autoSpaceDN w:val="0"/>
      <w:adjustRightInd w:val="0"/>
      <w:spacing w:after="0" w:line="240" w:lineRule="auto"/>
    </w:pPr>
    <w:rPr>
      <w:rFonts w:ascii="Arial Black" w:eastAsia="Times New Roman" w:hAnsi="Arial Black" w:cs="Arial Black"/>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co.gov.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5121</Words>
  <Characters>29191</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34244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Mandy.crow</dc:creator>
  <cp:keywords/>
  <dc:description/>
  <cp:lastModifiedBy>Amanda Crow</cp:lastModifiedBy>
  <cp:revision>2</cp:revision>
  <cp:lastPrinted>2023-04-24T11:28:00Z</cp:lastPrinted>
  <dcterms:created xsi:type="dcterms:W3CDTF">2025-10-28T13:14:00Z</dcterms:created>
  <dcterms:modified xsi:type="dcterms:W3CDTF">2025-10-28T13:14:00Z</dcterms:modified>
</cp:coreProperties>
</file>