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20"/>
          <w:szCs w:val="20"/>
        </w:rPr>
      </w:pPr>
    </w:p>
    <w:p>
      <w:pPr>
        <w:pStyle w:val="Heading1"/>
        <w:jc w:val="center"/>
        <w:rPr>
          <w:rFonts w:ascii="Sylfaen" w:hAnsi="Sylfaen" w:cs="Tahoma"/>
          <w:sz w:val="44"/>
          <w:szCs w:val="44"/>
        </w:rPr>
      </w:pPr>
      <w:r>
        <w:rPr>
          <w:rFonts w:ascii="Sylfaen" w:hAnsi="Sylfaen" w:cs="Tahoma"/>
          <w:noProof/>
          <w:sz w:val="20"/>
          <w:szCs w:val="20"/>
          <w:lang w:eastAsia="en-GB"/>
        </w:rPr>
        <w:drawing>
          <wp:anchor distT="0" distB="0" distL="114300" distR="114300" simplePos="0" relativeHeight="251661312" behindDoc="1" locked="0" layoutInCell="1" allowOverlap="1">
            <wp:simplePos x="0" y="0"/>
            <wp:positionH relativeFrom="column">
              <wp:posOffset>1905000</wp:posOffset>
            </wp:positionH>
            <wp:positionV relativeFrom="paragraph">
              <wp:posOffset>67945</wp:posOffset>
            </wp:positionV>
            <wp:extent cx="1956435" cy="1905000"/>
            <wp:effectExtent l="0" t="0" r="5715" b="0"/>
            <wp:wrapTight wrapText="bothSides">
              <wp:wrapPolygon edited="0">
                <wp:start x="7151" y="0"/>
                <wp:lineTo x="5679" y="648"/>
                <wp:lineTo x="2314" y="3240"/>
                <wp:lineTo x="210" y="6912"/>
                <wp:lineTo x="0" y="8424"/>
                <wp:lineTo x="841" y="9072"/>
                <wp:lineTo x="3996" y="10584"/>
                <wp:lineTo x="0" y="14040"/>
                <wp:lineTo x="1683" y="17496"/>
                <wp:lineTo x="1683" y="18792"/>
                <wp:lineTo x="6310" y="20952"/>
                <wp:lineTo x="9464" y="21384"/>
                <wp:lineTo x="11988" y="21384"/>
                <wp:lineTo x="14933" y="20952"/>
                <wp:lineTo x="19981" y="18792"/>
                <wp:lineTo x="19770" y="17496"/>
                <wp:lineTo x="21453" y="14040"/>
                <wp:lineTo x="17877" y="10584"/>
                <wp:lineTo x="21453" y="8424"/>
                <wp:lineTo x="21242" y="6912"/>
                <wp:lineTo x="19981" y="4752"/>
                <wp:lineTo x="19350" y="3024"/>
                <wp:lineTo x="15774" y="648"/>
                <wp:lineTo x="14092" y="0"/>
                <wp:lineTo x="715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56435" cy="1905000"/>
                    </a:xfrm>
                    <a:prstGeom prst="rect">
                      <a:avLst/>
                    </a:prstGeom>
                  </pic:spPr>
                </pic:pic>
              </a:graphicData>
            </a:graphic>
            <wp14:sizeRelH relativeFrom="margin">
              <wp14:pctWidth>0</wp14:pctWidth>
            </wp14:sizeRelH>
            <wp14:sizeRelV relativeFrom="margin">
              <wp14:pctHeight>0</wp14:pctHeight>
            </wp14:sizeRelV>
          </wp:anchor>
        </w:drawing>
      </w:r>
    </w:p>
    <w:p>
      <w:pPr>
        <w:pStyle w:val="Heading1"/>
        <w:jc w:val="center"/>
        <w:rPr>
          <w:rFonts w:ascii="Sylfaen" w:hAnsi="Sylfaen" w:cs="Tahoma"/>
          <w:sz w:val="44"/>
          <w:szCs w:val="44"/>
        </w:rPr>
      </w:pPr>
    </w:p>
    <w:p>
      <w:pPr>
        <w:pStyle w:val="Heading1"/>
        <w:jc w:val="center"/>
        <w:rPr>
          <w:rFonts w:ascii="Sylfaen" w:hAnsi="Sylfaen" w:cs="Tahoma"/>
          <w:sz w:val="44"/>
          <w:szCs w:val="44"/>
        </w:rPr>
      </w:pPr>
    </w:p>
    <w:p>
      <w:pPr>
        <w:pStyle w:val="Heading1"/>
        <w:jc w:val="center"/>
        <w:rPr>
          <w:rFonts w:ascii="Sylfaen" w:hAnsi="Sylfaen" w:cs="Tahoma"/>
          <w:sz w:val="44"/>
          <w:szCs w:val="44"/>
        </w:rPr>
      </w:pPr>
    </w:p>
    <w:p>
      <w:pPr>
        <w:pStyle w:val="Heading1"/>
        <w:jc w:val="center"/>
        <w:rPr>
          <w:rFonts w:ascii="Sylfaen" w:hAnsi="Sylfaen" w:cs="Tahoma"/>
          <w:sz w:val="44"/>
          <w:szCs w:val="44"/>
        </w:rPr>
      </w:pPr>
    </w:p>
    <w:p>
      <w:pPr>
        <w:pStyle w:val="Heading1"/>
        <w:jc w:val="center"/>
        <w:rPr>
          <w:rFonts w:ascii="Sylfaen" w:hAnsi="Sylfaen" w:cs="Tahoma"/>
          <w:sz w:val="44"/>
          <w:szCs w:val="44"/>
        </w:rPr>
      </w:pPr>
    </w:p>
    <w:p>
      <w:pPr>
        <w:pStyle w:val="Heading1"/>
        <w:jc w:val="center"/>
        <w:rPr>
          <w:rFonts w:ascii="Sylfaen" w:hAnsi="Sylfaen" w:cs="Tahoma"/>
          <w:sz w:val="44"/>
          <w:szCs w:val="44"/>
          <w:lang w:val="en-GB"/>
        </w:rPr>
      </w:pPr>
      <w:r>
        <w:rPr>
          <w:rFonts w:ascii="Sylfaen" w:hAnsi="Sylfaen" w:cs="Tahoma"/>
          <w:sz w:val="44"/>
          <w:szCs w:val="44"/>
        </w:rPr>
        <w:t>ROMAN   FIELDS</w:t>
      </w:r>
      <w:r>
        <w:rPr>
          <w:rFonts w:ascii="Sylfaen" w:hAnsi="Sylfaen" w:cs="Tahoma"/>
          <w:sz w:val="44"/>
          <w:szCs w:val="44"/>
          <w:lang w:val="en-GB"/>
        </w:rPr>
        <w:t>’</w:t>
      </w:r>
    </w:p>
    <w:p>
      <w:pPr>
        <w:pStyle w:val="Heading2"/>
        <w:rPr>
          <w:rFonts w:ascii="Sylfaen" w:hAnsi="Sylfaen" w:cs="Tahoma"/>
          <w:sz w:val="44"/>
          <w:szCs w:val="44"/>
          <w:lang w:val="en-GB"/>
        </w:rPr>
      </w:pPr>
      <w:r>
        <w:rPr>
          <w:rFonts w:ascii="Sylfaen" w:hAnsi="Sylfaen" w:cs="Tahoma"/>
          <w:sz w:val="44"/>
          <w:szCs w:val="44"/>
          <w:lang w:val="en-GB"/>
        </w:rPr>
        <w:t>CCTV CODE OF PRACTICE</w:t>
      </w:r>
    </w:p>
    <w:p>
      <w:pPr>
        <w:jc w:val="both"/>
        <w:rPr>
          <w:rFonts w:ascii="Sylfaen" w:hAnsi="Sylfaen" w:cs="Tahoma"/>
          <w:sz w:val="20"/>
          <w:szCs w:val="20"/>
        </w:rPr>
      </w:pPr>
    </w:p>
    <w:p>
      <w:pPr>
        <w:jc w:val="both"/>
        <w:rPr>
          <w:rFonts w:ascii="Sylfaen" w:hAnsi="Sylfaen" w:cs="Tahoma"/>
          <w:sz w:val="20"/>
          <w:szCs w:val="20"/>
        </w:rPr>
      </w:pPr>
    </w:p>
    <w:p>
      <w:pPr>
        <w:jc w:val="both"/>
        <w:rPr>
          <w:rFonts w:ascii="Sylfaen" w:hAnsi="Sylfaen" w:cs="Tahoma"/>
          <w:sz w:val="20"/>
          <w:szCs w:val="20"/>
        </w:rPr>
      </w:pPr>
    </w:p>
    <w:p>
      <w:pPr>
        <w:jc w:val="both"/>
        <w:rPr>
          <w:rFonts w:ascii="Sylfaen" w:hAnsi="Sylfaen" w:cs="Tahoma"/>
          <w:sz w:val="20"/>
          <w:szCs w:val="20"/>
        </w:rPr>
      </w:pPr>
    </w:p>
    <w:p>
      <w:pPr>
        <w:jc w:val="both"/>
        <w:rPr>
          <w:rFonts w:ascii="Sylfaen" w:hAnsi="Sylfaen" w:cs="Tahoma"/>
          <w:sz w:val="20"/>
          <w:szCs w:val="20"/>
        </w:rPr>
      </w:pPr>
    </w:p>
    <w:p>
      <w:pPr>
        <w:jc w:val="both"/>
        <w:rPr>
          <w:rFonts w:ascii="Sylfaen" w:hAnsi="Sylfaen" w:cs="Tahoma"/>
          <w:sz w:val="20"/>
          <w:szCs w:val="20"/>
        </w:rPr>
      </w:pPr>
    </w:p>
    <w:p>
      <w:pPr>
        <w:jc w:val="both"/>
        <w:rPr>
          <w:rFonts w:ascii="Sylfaen" w:hAnsi="Sylfaen" w:cs="Tahoma"/>
          <w:sz w:val="20"/>
          <w:szCs w:val="20"/>
        </w:rPr>
      </w:pPr>
    </w:p>
    <w:p>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This policy forms part of the GDPR criteria and should be published on the school website.</w:t>
      </w:r>
    </w:p>
    <w:p>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r>
        <w:rPr>
          <w:rFonts w:ascii="Sylfaen" w:hAnsi="Sylfaen" w:cs="Tahoma"/>
          <w:b/>
          <w:bCs/>
          <w:color w:val="auto"/>
          <w:sz w:val="20"/>
          <w:szCs w:val="20"/>
        </w:rPr>
        <w:t xml:space="preserve"> </w:t>
      </w:r>
    </w:p>
    <w:p>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 xml:space="preserve">This policy was written in June 2021 in consultation with staff, pupils, parents and the Trust Board. </w:t>
      </w:r>
    </w:p>
    <w:p>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It was ratified by the Management Committee on 28/06/2021</w:t>
      </w:r>
    </w:p>
    <w:p>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p>
    <w:p>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REVIEW: This policy will be reviewed every two years</w:t>
      </w:r>
    </w:p>
    <w:p>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pPr>
        <w:jc w:val="both"/>
        <w:rPr>
          <w:rFonts w:ascii="Sylfaen" w:hAnsi="Sylfaen" w:cs="Tahoma"/>
          <w:b/>
          <w:sz w:val="20"/>
          <w:szCs w:val="20"/>
        </w:rPr>
      </w:pPr>
      <w:r>
        <w:rPr>
          <w:rFonts w:ascii="Sylfaen" w:hAnsi="Sylfaen" w:cs="Tahoma"/>
          <w:b/>
          <w:sz w:val="20"/>
          <w:szCs w:val="20"/>
        </w:rPr>
        <w:br w:type="page"/>
      </w:r>
    </w:p>
    <w:p>
      <w:pPr>
        <w:pStyle w:val="ListParagraph"/>
        <w:numPr>
          <w:ilvl w:val="0"/>
          <w:numId w:val="1"/>
        </w:numPr>
        <w:jc w:val="both"/>
        <w:rPr>
          <w:rFonts w:ascii="Sylfaen" w:hAnsi="Sylfaen" w:cs="Tahoma"/>
          <w:b/>
          <w:sz w:val="20"/>
          <w:szCs w:val="20"/>
        </w:rPr>
      </w:pPr>
      <w:r>
        <w:rPr>
          <w:rFonts w:ascii="Sylfaen" w:hAnsi="Sylfaen" w:cs="Tahoma"/>
          <w:b/>
          <w:sz w:val="20"/>
          <w:szCs w:val="20"/>
        </w:rPr>
        <w:lastRenderedPageBreak/>
        <w:t xml:space="preserve">Objective and Scope </w:t>
      </w:r>
    </w:p>
    <w:p>
      <w:pPr>
        <w:pStyle w:val="ListParagraph"/>
        <w:ind w:left="360"/>
        <w:jc w:val="both"/>
        <w:rPr>
          <w:rFonts w:ascii="Sylfaen" w:hAnsi="Sylfaen" w:cs="Tahoma"/>
          <w:sz w:val="20"/>
          <w:szCs w:val="20"/>
        </w:rPr>
      </w:pPr>
      <w:r>
        <w:rPr>
          <w:rFonts w:ascii="Sylfaen" w:hAnsi="Sylfaen" w:cs="Tahoma"/>
          <w:sz w:val="20"/>
          <w:szCs w:val="20"/>
        </w:rPr>
        <w:t xml:space="preserve">Roman Fields is committed to securing the safety and well-being of employees, pupils and others affected by activities on school premises. </w:t>
      </w:r>
    </w:p>
    <w:p>
      <w:pPr>
        <w:pStyle w:val="ListParagraph"/>
        <w:ind w:left="360"/>
        <w:jc w:val="both"/>
        <w:rPr>
          <w:rFonts w:ascii="Sylfaen" w:hAnsi="Sylfaen" w:cs="Tahoma"/>
          <w:sz w:val="20"/>
          <w:szCs w:val="20"/>
        </w:rPr>
      </w:pPr>
      <w:r>
        <w:rPr>
          <w:rFonts w:ascii="Sylfaen" w:hAnsi="Sylfaen" w:cs="Tahoma"/>
          <w:sz w:val="20"/>
          <w:szCs w:val="20"/>
        </w:rPr>
        <w:t xml:space="preserve">Aims </w:t>
      </w:r>
    </w:p>
    <w:p>
      <w:pPr>
        <w:pStyle w:val="ListParagraph"/>
        <w:numPr>
          <w:ilvl w:val="0"/>
          <w:numId w:val="2"/>
        </w:numPr>
        <w:jc w:val="both"/>
        <w:rPr>
          <w:rFonts w:ascii="Sylfaen" w:hAnsi="Sylfaen" w:cs="Tahoma"/>
          <w:sz w:val="20"/>
          <w:szCs w:val="20"/>
        </w:rPr>
      </w:pPr>
      <w:r>
        <w:rPr>
          <w:rFonts w:ascii="Sylfaen" w:hAnsi="Sylfaen" w:cs="Tahoma"/>
          <w:sz w:val="20"/>
          <w:szCs w:val="20"/>
        </w:rPr>
        <w:t>To provide a safe environment for staff and pupils</w:t>
      </w:r>
    </w:p>
    <w:p>
      <w:pPr>
        <w:pStyle w:val="ListParagraph"/>
        <w:numPr>
          <w:ilvl w:val="0"/>
          <w:numId w:val="2"/>
        </w:numPr>
        <w:jc w:val="both"/>
        <w:rPr>
          <w:rFonts w:ascii="Sylfaen" w:hAnsi="Sylfaen" w:cs="Tahoma"/>
          <w:sz w:val="20"/>
          <w:szCs w:val="20"/>
        </w:rPr>
      </w:pPr>
      <w:r>
        <w:rPr>
          <w:rFonts w:ascii="Sylfaen" w:hAnsi="Sylfaen" w:cs="Tahoma"/>
          <w:sz w:val="20"/>
          <w:szCs w:val="20"/>
        </w:rPr>
        <w:t xml:space="preserve">To provide improved site security </w:t>
      </w:r>
    </w:p>
    <w:p>
      <w:pPr>
        <w:pStyle w:val="ListParagraph"/>
        <w:numPr>
          <w:ilvl w:val="0"/>
          <w:numId w:val="2"/>
        </w:numPr>
        <w:jc w:val="both"/>
        <w:rPr>
          <w:rFonts w:ascii="Sylfaen" w:hAnsi="Sylfaen" w:cs="Tahoma"/>
          <w:sz w:val="20"/>
          <w:szCs w:val="20"/>
        </w:rPr>
      </w:pPr>
      <w:r>
        <w:rPr>
          <w:rFonts w:ascii="Sylfaen" w:hAnsi="Sylfaen" w:cs="Tahoma"/>
          <w:sz w:val="20"/>
          <w:szCs w:val="20"/>
        </w:rPr>
        <w:t>To prevent petty vandalism</w:t>
      </w:r>
    </w:p>
    <w:p>
      <w:pPr>
        <w:pStyle w:val="ListParagraph"/>
        <w:numPr>
          <w:ilvl w:val="0"/>
          <w:numId w:val="2"/>
        </w:numPr>
        <w:jc w:val="both"/>
        <w:rPr>
          <w:rFonts w:ascii="Sylfaen" w:hAnsi="Sylfaen" w:cs="Tahoma"/>
          <w:sz w:val="20"/>
          <w:szCs w:val="20"/>
        </w:rPr>
      </w:pPr>
      <w:r>
        <w:rPr>
          <w:rFonts w:ascii="Sylfaen" w:hAnsi="Sylfaen" w:cs="Tahoma"/>
          <w:sz w:val="20"/>
          <w:szCs w:val="20"/>
        </w:rPr>
        <w:t>To prevent anti-social behaviour in blind spots situated around the schools</w:t>
      </w:r>
    </w:p>
    <w:p>
      <w:pPr>
        <w:pStyle w:val="ListParagraph"/>
        <w:numPr>
          <w:ilvl w:val="0"/>
          <w:numId w:val="2"/>
        </w:numPr>
        <w:jc w:val="both"/>
        <w:rPr>
          <w:rFonts w:ascii="Sylfaen" w:hAnsi="Sylfaen" w:cs="Tahoma"/>
          <w:sz w:val="20"/>
          <w:szCs w:val="20"/>
        </w:rPr>
      </w:pPr>
      <w:r>
        <w:rPr>
          <w:rFonts w:ascii="Sylfaen" w:hAnsi="Sylfaen" w:cs="Tahoma"/>
          <w:sz w:val="20"/>
          <w:szCs w:val="20"/>
        </w:rPr>
        <w:t>To ensure health and safety of the staff and pupils</w:t>
      </w:r>
    </w:p>
    <w:p>
      <w:pPr>
        <w:pStyle w:val="NoSpacing"/>
        <w:numPr>
          <w:ilvl w:val="0"/>
          <w:numId w:val="1"/>
        </w:numPr>
        <w:jc w:val="both"/>
        <w:rPr>
          <w:rFonts w:ascii="Sylfaen" w:hAnsi="Sylfaen" w:cs="Tahoma"/>
          <w:b/>
          <w:sz w:val="20"/>
          <w:szCs w:val="20"/>
        </w:rPr>
      </w:pPr>
      <w:r>
        <w:rPr>
          <w:rFonts w:ascii="Sylfaen" w:hAnsi="Sylfaen" w:cs="Tahoma"/>
          <w:b/>
          <w:sz w:val="20"/>
          <w:szCs w:val="20"/>
        </w:rPr>
        <w:t>Introduction</w:t>
      </w:r>
    </w:p>
    <w:p>
      <w:pPr>
        <w:pStyle w:val="NoSpacing"/>
        <w:numPr>
          <w:ilvl w:val="1"/>
          <w:numId w:val="3"/>
        </w:numPr>
        <w:ind w:left="720"/>
        <w:jc w:val="both"/>
        <w:rPr>
          <w:rFonts w:ascii="Sylfaen" w:hAnsi="Sylfaen" w:cs="Tahoma"/>
          <w:sz w:val="20"/>
          <w:szCs w:val="20"/>
        </w:rPr>
      </w:pPr>
      <w:r>
        <w:rPr>
          <w:rFonts w:ascii="Sylfaen" w:hAnsi="Sylfaen" w:cs="Tahoma"/>
          <w:sz w:val="20"/>
          <w:szCs w:val="20"/>
        </w:rPr>
        <w:t>The purpose of this policy is to regulate the management, operation and use of the closed circuit television (CCTV) system at Roman Fields.</w:t>
      </w:r>
    </w:p>
    <w:p>
      <w:pPr>
        <w:pStyle w:val="NoSpacing"/>
        <w:numPr>
          <w:ilvl w:val="1"/>
          <w:numId w:val="3"/>
        </w:numPr>
        <w:ind w:left="720"/>
        <w:jc w:val="both"/>
        <w:rPr>
          <w:rFonts w:ascii="Sylfaen" w:hAnsi="Sylfaen" w:cs="Tahoma"/>
          <w:sz w:val="20"/>
          <w:szCs w:val="20"/>
        </w:rPr>
      </w:pPr>
      <w:r>
        <w:rPr>
          <w:rFonts w:ascii="Sylfaen" w:hAnsi="Sylfaen" w:cs="Tahoma"/>
          <w:sz w:val="20"/>
          <w:szCs w:val="20"/>
        </w:rPr>
        <w:t xml:space="preserve">The system comprises of a number of fixed and dome cameras located around the schools site. There are two designated computers for the CCTV; one for internal and one for external and both can be viewed by authorised personnel only. </w:t>
      </w:r>
    </w:p>
    <w:p>
      <w:pPr>
        <w:pStyle w:val="NoSpacing"/>
        <w:numPr>
          <w:ilvl w:val="1"/>
          <w:numId w:val="3"/>
        </w:numPr>
        <w:ind w:left="720"/>
        <w:jc w:val="both"/>
        <w:rPr>
          <w:rFonts w:ascii="Sylfaen" w:hAnsi="Sylfaen" w:cs="Tahoma"/>
          <w:sz w:val="20"/>
          <w:szCs w:val="20"/>
        </w:rPr>
      </w:pPr>
      <w:r>
        <w:rPr>
          <w:rFonts w:ascii="Sylfaen" w:hAnsi="Sylfaen" w:cs="Tahoma"/>
          <w:sz w:val="20"/>
          <w:szCs w:val="20"/>
        </w:rPr>
        <w:t>This Code follows Data Protection Act guidelines.</w:t>
      </w:r>
    </w:p>
    <w:p>
      <w:pPr>
        <w:pStyle w:val="NoSpacing"/>
        <w:numPr>
          <w:ilvl w:val="1"/>
          <w:numId w:val="3"/>
        </w:numPr>
        <w:ind w:left="720"/>
        <w:jc w:val="both"/>
        <w:rPr>
          <w:rFonts w:ascii="Sylfaen" w:hAnsi="Sylfaen" w:cs="Tahoma"/>
          <w:sz w:val="20"/>
          <w:szCs w:val="20"/>
        </w:rPr>
      </w:pPr>
      <w:r>
        <w:rPr>
          <w:rFonts w:ascii="Sylfaen" w:hAnsi="Sylfaen" w:cs="Tahoma"/>
          <w:sz w:val="20"/>
          <w:szCs w:val="20"/>
        </w:rPr>
        <w:t>The Code of Practice will be subject to review bi-annually to include consultation as appropriate with interested parties.</w:t>
      </w:r>
    </w:p>
    <w:p>
      <w:pPr>
        <w:pStyle w:val="NoSpacing"/>
        <w:numPr>
          <w:ilvl w:val="1"/>
          <w:numId w:val="3"/>
        </w:numPr>
        <w:ind w:left="720"/>
        <w:jc w:val="both"/>
        <w:rPr>
          <w:rFonts w:ascii="Sylfaen" w:hAnsi="Sylfaen" w:cs="Tahoma"/>
          <w:sz w:val="20"/>
          <w:szCs w:val="20"/>
        </w:rPr>
      </w:pPr>
      <w:r>
        <w:rPr>
          <w:rFonts w:ascii="Sylfaen" w:hAnsi="Sylfaen" w:cs="Tahoma"/>
          <w:sz w:val="20"/>
          <w:szCs w:val="20"/>
        </w:rPr>
        <w:t>The CCTV systems are owned by Roman Fields.</w:t>
      </w:r>
    </w:p>
    <w:p>
      <w:pPr>
        <w:pStyle w:val="NoSpacing"/>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 Objectives of the CCTV Scheme</w:t>
      </w:r>
    </w:p>
    <w:p>
      <w:pPr>
        <w:pStyle w:val="NoSpacing"/>
        <w:ind w:left="360"/>
        <w:jc w:val="both"/>
        <w:rPr>
          <w:rFonts w:ascii="Sylfaen" w:hAnsi="Sylfaen" w:cs="Tahoma"/>
          <w:sz w:val="20"/>
          <w:szCs w:val="20"/>
        </w:rPr>
      </w:pPr>
      <w:r>
        <w:rPr>
          <w:rFonts w:ascii="Sylfaen" w:hAnsi="Sylfaen" w:cs="Tahoma"/>
          <w:sz w:val="20"/>
          <w:szCs w:val="20"/>
        </w:rPr>
        <w:t xml:space="preserve">3.1 </w:t>
      </w:r>
    </w:p>
    <w:p>
      <w:pPr>
        <w:pStyle w:val="NoSpacing"/>
        <w:numPr>
          <w:ilvl w:val="0"/>
          <w:numId w:val="4"/>
        </w:numPr>
        <w:jc w:val="both"/>
        <w:rPr>
          <w:rFonts w:ascii="Sylfaen" w:hAnsi="Sylfaen" w:cs="Tahoma"/>
          <w:sz w:val="20"/>
          <w:szCs w:val="20"/>
        </w:rPr>
      </w:pPr>
      <w:r>
        <w:rPr>
          <w:rFonts w:ascii="Sylfaen" w:hAnsi="Sylfaen" w:cs="Tahoma"/>
          <w:sz w:val="20"/>
          <w:szCs w:val="20"/>
        </w:rPr>
        <w:t xml:space="preserve">To increase personal safety </w:t>
      </w:r>
    </w:p>
    <w:p>
      <w:pPr>
        <w:pStyle w:val="NoSpacing"/>
        <w:numPr>
          <w:ilvl w:val="0"/>
          <w:numId w:val="4"/>
        </w:numPr>
        <w:jc w:val="both"/>
        <w:rPr>
          <w:rFonts w:ascii="Sylfaen" w:hAnsi="Sylfaen" w:cs="Tahoma"/>
          <w:sz w:val="20"/>
          <w:szCs w:val="20"/>
        </w:rPr>
      </w:pPr>
      <w:r>
        <w:rPr>
          <w:rFonts w:ascii="Sylfaen" w:hAnsi="Sylfaen" w:cs="Tahoma"/>
          <w:sz w:val="20"/>
          <w:szCs w:val="20"/>
        </w:rPr>
        <w:t>To protect the school buildings and their assets</w:t>
      </w:r>
    </w:p>
    <w:p>
      <w:pPr>
        <w:pStyle w:val="NoSpacing"/>
        <w:numPr>
          <w:ilvl w:val="0"/>
          <w:numId w:val="4"/>
        </w:numPr>
        <w:jc w:val="both"/>
        <w:rPr>
          <w:rFonts w:ascii="Sylfaen" w:hAnsi="Sylfaen" w:cs="Tahoma"/>
          <w:sz w:val="20"/>
          <w:szCs w:val="20"/>
        </w:rPr>
      </w:pPr>
      <w:r>
        <w:rPr>
          <w:rFonts w:ascii="Sylfaen" w:hAnsi="Sylfaen" w:cs="Tahoma"/>
          <w:sz w:val="20"/>
          <w:szCs w:val="20"/>
        </w:rPr>
        <w:t>To support the Police in a bid to deter and detect crime</w:t>
      </w:r>
    </w:p>
    <w:p>
      <w:pPr>
        <w:pStyle w:val="NoSpacing"/>
        <w:numPr>
          <w:ilvl w:val="0"/>
          <w:numId w:val="4"/>
        </w:numPr>
        <w:jc w:val="both"/>
        <w:rPr>
          <w:rFonts w:ascii="Sylfaen" w:hAnsi="Sylfaen" w:cs="Tahoma"/>
          <w:sz w:val="20"/>
          <w:szCs w:val="20"/>
        </w:rPr>
      </w:pPr>
      <w:r>
        <w:rPr>
          <w:rFonts w:ascii="Sylfaen" w:hAnsi="Sylfaen" w:cs="Tahoma"/>
          <w:sz w:val="20"/>
          <w:szCs w:val="20"/>
        </w:rPr>
        <w:t xml:space="preserve">To assist in identifying, apprehending and prosecuting offenders </w:t>
      </w:r>
    </w:p>
    <w:p>
      <w:pPr>
        <w:pStyle w:val="NoSpacing"/>
        <w:numPr>
          <w:ilvl w:val="0"/>
          <w:numId w:val="4"/>
        </w:numPr>
        <w:jc w:val="both"/>
        <w:rPr>
          <w:rFonts w:ascii="Sylfaen" w:hAnsi="Sylfaen" w:cs="Tahoma"/>
          <w:sz w:val="20"/>
          <w:szCs w:val="20"/>
        </w:rPr>
      </w:pPr>
      <w:r>
        <w:rPr>
          <w:rFonts w:ascii="Sylfaen" w:hAnsi="Sylfaen" w:cs="Tahoma"/>
          <w:sz w:val="20"/>
          <w:szCs w:val="20"/>
        </w:rPr>
        <w:t xml:space="preserve">To protect members of the public and private property </w:t>
      </w:r>
    </w:p>
    <w:p>
      <w:pPr>
        <w:pStyle w:val="NoSpacing"/>
        <w:numPr>
          <w:ilvl w:val="0"/>
          <w:numId w:val="4"/>
        </w:numPr>
        <w:jc w:val="both"/>
        <w:rPr>
          <w:rFonts w:ascii="Sylfaen" w:hAnsi="Sylfaen" w:cs="Tahoma"/>
          <w:sz w:val="20"/>
          <w:szCs w:val="20"/>
        </w:rPr>
      </w:pPr>
      <w:r>
        <w:rPr>
          <w:rFonts w:ascii="Sylfaen" w:hAnsi="Sylfaen" w:cs="Tahoma"/>
          <w:sz w:val="20"/>
          <w:szCs w:val="20"/>
        </w:rPr>
        <w:t>To assist in managing the provision</w:t>
      </w:r>
    </w:p>
    <w:p>
      <w:pPr>
        <w:pStyle w:val="NoSpacing"/>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Statement of intent</w:t>
      </w:r>
    </w:p>
    <w:p>
      <w:pPr>
        <w:pStyle w:val="NoSpacing"/>
        <w:numPr>
          <w:ilvl w:val="1"/>
          <w:numId w:val="6"/>
        </w:numPr>
        <w:jc w:val="both"/>
        <w:rPr>
          <w:rFonts w:ascii="Sylfaen" w:hAnsi="Sylfaen" w:cs="Tahoma"/>
          <w:sz w:val="20"/>
          <w:szCs w:val="20"/>
        </w:rPr>
      </w:pPr>
      <w:r>
        <w:rPr>
          <w:rFonts w:ascii="Sylfaen" w:hAnsi="Sylfaen" w:cs="Tahoma"/>
          <w:sz w:val="20"/>
          <w:szCs w:val="20"/>
        </w:rPr>
        <w:t xml:space="preserve">The CCTV scheme will be registered with the Information Commissioner under the terms of the Data Protection Act 1998 and will seek to comply with the requirements both of the Data Protection Act and the Commissioner’s Code of Practice. </w:t>
      </w:r>
    </w:p>
    <w:p>
      <w:pPr>
        <w:pStyle w:val="NoSpacing"/>
        <w:numPr>
          <w:ilvl w:val="1"/>
          <w:numId w:val="6"/>
        </w:numPr>
        <w:ind w:left="720"/>
        <w:jc w:val="both"/>
        <w:rPr>
          <w:rFonts w:ascii="Sylfaen" w:hAnsi="Sylfaen" w:cs="Tahoma"/>
          <w:sz w:val="20"/>
          <w:szCs w:val="20"/>
        </w:rPr>
      </w:pPr>
      <w:r>
        <w:rPr>
          <w:rFonts w:ascii="Sylfaen" w:hAnsi="Sylfaen" w:cs="Tahoma"/>
          <w:sz w:val="20"/>
          <w:szCs w:val="20"/>
        </w:rPr>
        <w:t xml:space="preserve"> The system, information, documentation and recordings obtained, will be treated in accordance with the Data Protection Act. </w:t>
      </w:r>
    </w:p>
    <w:p>
      <w:pPr>
        <w:pStyle w:val="NoSpacing"/>
        <w:numPr>
          <w:ilvl w:val="1"/>
          <w:numId w:val="6"/>
        </w:numPr>
        <w:ind w:left="720"/>
        <w:jc w:val="both"/>
        <w:rPr>
          <w:rFonts w:ascii="Sylfaen" w:hAnsi="Sylfaen" w:cs="Tahoma"/>
          <w:sz w:val="20"/>
          <w:szCs w:val="20"/>
        </w:rPr>
      </w:pPr>
      <w:r>
        <w:rPr>
          <w:rFonts w:ascii="Sylfaen" w:hAnsi="Sylfaen" w:cs="Tahoma"/>
          <w:sz w:val="20"/>
          <w:szCs w:val="20"/>
        </w:rPr>
        <w:t xml:space="preserve">Cameras will be used to monitor activities within the school and its car parks and other public areas to identify criminal activity actually occurring, anticipated, or perceived, and for the purpose of securing the safety and well being of the school, together with its visitors. The positions and areas monitored are detailed in appendix 1. </w:t>
      </w:r>
    </w:p>
    <w:p>
      <w:pPr>
        <w:pStyle w:val="NoSpacing"/>
        <w:numPr>
          <w:ilvl w:val="1"/>
          <w:numId w:val="6"/>
        </w:numPr>
        <w:ind w:left="720"/>
        <w:jc w:val="both"/>
        <w:rPr>
          <w:rFonts w:ascii="Sylfaen" w:hAnsi="Sylfaen" w:cs="Tahoma"/>
          <w:sz w:val="20"/>
          <w:szCs w:val="20"/>
        </w:rPr>
      </w:pPr>
      <w:r>
        <w:rPr>
          <w:rFonts w:ascii="Sylfaen" w:hAnsi="Sylfaen" w:cs="Tahoma"/>
          <w:sz w:val="20"/>
          <w:szCs w:val="20"/>
        </w:rPr>
        <w:t xml:space="preserve">The cameras will not focus on toilets, changing facilities, showers/wash areas, private homes, gardens and other areas of private property. </w:t>
      </w:r>
    </w:p>
    <w:p>
      <w:pPr>
        <w:pStyle w:val="NoSpacing"/>
        <w:numPr>
          <w:ilvl w:val="1"/>
          <w:numId w:val="6"/>
        </w:numPr>
        <w:ind w:left="720"/>
        <w:jc w:val="both"/>
        <w:rPr>
          <w:rFonts w:ascii="Sylfaen" w:hAnsi="Sylfaen" w:cs="Tahoma"/>
          <w:sz w:val="20"/>
          <w:szCs w:val="20"/>
        </w:rPr>
      </w:pPr>
      <w:r>
        <w:rPr>
          <w:rFonts w:ascii="Sylfaen" w:hAnsi="Sylfaen" w:cs="Tahoma"/>
          <w:sz w:val="20"/>
          <w:szCs w:val="20"/>
        </w:rPr>
        <w:t xml:space="preserve">Unless an immediate response to events is required, staff must not direct cameras at an individual, their property or a specific group of individuals, without an authorisation being obtained using the school’s forms for Directed Surveillance to take place, as set out in the Regulation of Investigatory Power Act 2000. </w:t>
      </w:r>
    </w:p>
    <w:p>
      <w:pPr>
        <w:pStyle w:val="NoSpacing"/>
        <w:numPr>
          <w:ilvl w:val="1"/>
          <w:numId w:val="6"/>
        </w:numPr>
        <w:ind w:left="720"/>
        <w:jc w:val="both"/>
        <w:rPr>
          <w:rFonts w:ascii="Sylfaen" w:hAnsi="Sylfaen" w:cs="Tahoma"/>
          <w:sz w:val="20"/>
          <w:szCs w:val="20"/>
        </w:rPr>
      </w:pPr>
      <w:r>
        <w:rPr>
          <w:rFonts w:ascii="Sylfaen" w:hAnsi="Sylfaen" w:cs="Tahoma"/>
          <w:sz w:val="20"/>
          <w:szCs w:val="20"/>
        </w:rPr>
        <w:t xml:space="preserve"> Materials or knowledge secured as a result of CCTV will not be used for any commercial purpose. Copies will only be released by the Head teacher for use in the investigation of a specific crime and by written request from the police. Footage will never be released to the media or any other person for purposes of entertainment. </w:t>
      </w:r>
    </w:p>
    <w:p>
      <w:pPr>
        <w:pStyle w:val="NoSpacing"/>
        <w:numPr>
          <w:ilvl w:val="1"/>
          <w:numId w:val="6"/>
        </w:numPr>
        <w:ind w:left="360"/>
        <w:jc w:val="both"/>
        <w:rPr>
          <w:rFonts w:ascii="Sylfaen" w:hAnsi="Sylfaen" w:cs="Tahoma"/>
          <w:sz w:val="20"/>
          <w:szCs w:val="20"/>
        </w:rPr>
      </w:pPr>
      <w:r>
        <w:rPr>
          <w:rFonts w:ascii="Sylfaen" w:hAnsi="Sylfaen" w:cs="Tahoma"/>
          <w:sz w:val="20"/>
          <w:szCs w:val="20"/>
        </w:rPr>
        <w:lastRenderedPageBreak/>
        <w:t xml:space="preserve">The planning and design has endeavoured to ensure that the Scheme will give maximum effectiveness and efficiency, but it is not possible to guarantee that the system will cover or detect every single incident taking place in the areas of coverage. </w:t>
      </w:r>
    </w:p>
    <w:p>
      <w:pPr>
        <w:pStyle w:val="NoSpacing"/>
        <w:numPr>
          <w:ilvl w:val="1"/>
          <w:numId w:val="6"/>
        </w:numPr>
        <w:ind w:left="360"/>
        <w:jc w:val="both"/>
        <w:rPr>
          <w:rFonts w:ascii="Sylfaen" w:hAnsi="Sylfaen" w:cs="Tahoma"/>
          <w:sz w:val="20"/>
          <w:szCs w:val="20"/>
        </w:rPr>
      </w:pPr>
      <w:r>
        <w:rPr>
          <w:rFonts w:ascii="Sylfaen" w:hAnsi="Sylfaen" w:cs="Tahoma"/>
          <w:sz w:val="20"/>
          <w:szCs w:val="20"/>
        </w:rPr>
        <w:t>Warning signs are required by the Information Commissioners Office Code of Practice and have been placed at all access routes to areas covered by the school CCTV. The warning signs will be checked on a regular basis and any warning sign destroyed or damaged will be replaced.</w:t>
      </w:r>
    </w:p>
    <w:p>
      <w:pPr>
        <w:pStyle w:val="NoSpacing"/>
        <w:ind w:left="218"/>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Operations of the system </w:t>
      </w:r>
    </w:p>
    <w:p>
      <w:pPr>
        <w:pStyle w:val="NoSpacing"/>
        <w:numPr>
          <w:ilvl w:val="1"/>
          <w:numId w:val="7"/>
        </w:numPr>
        <w:jc w:val="both"/>
        <w:rPr>
          <w:rFonts w:ascii="Sylfaen" w:hAnsi="Sylfaen" w:cs="Tahoma"/>
          <w:sz w:val="20"/>
          <w:szCs w:val="20"/>
        </w:rPr>
      </w:pPr>
      <w:r>
        <w:rPr>
          <w:rFonts w:ascii="Sylfaen" w:hAnsi="Sylfaen" w:cs="Tahoma"/>
          <w:sz w:val="20"/>
          <w:szCs w:val="20"/>
        </w:rPr>
        <w:t>The scheme will be administered and managed by the Head teacher, in accordance with the principles and objectives expressed in the Code.</w:t>
      </w:r>
    </w:p>
    <w:p>
      <w:pPr>
        <w:pStyle w:val="NoSpacing"/>
        <w:numPr>
          <w:ilvl w:val="1"/>
          <w:numId w:val="7"/>
        </w:numPr>
        <w:jc w:val="both"/>
        <w:rPr>
          <w:rFonts w:ascii="Sylfaen" w:hAnsi="Sylfaen" w:cs="Tahoma"/>
          <w:sz w:val="20"/>
          <w:szCs w:val="20"/>
        </w:rPr>
      </w:pPr>
      <w:r>
        <w:rPr>
          <w:rFonts w:ascii="Sylfaen" w:hAnsi="Sylfaen" w:cs="Tahoma"/>
          <w:sz w:val="20"/>
          <w:szCs w:val="20"/>
        </w:rPr>
        <w:t>The day-to-day management will be the responsibility of the Site Manager.</w:t>
      </w:r>
    </w:p>
    <w:p>
      <w:pPr>
        <w:pStyle w:val="NoSpacing"/>
        <w:numPr>
          <w:ilvl w:val="1"/>
          <w:numId w:val="7"/>
        </w:numPr>
        <w:jc w:val="both"/>
        <w:rPr>
          <w:rFonts w:ascii="Sylfaen" w:hAnsi="Sylfaen" w:cs="Tahoma"/>
          <w:sz w:val="20"/>
          <w:szCs w:val="20"/>
        </w:rPr>
      </w:pPr>
      <w:r>
        <w:rPr>
          <w:rFonts w:ascii="Sylfaen" w:hAnsi="Sylfaen" w:cs="Tahoma"/>
          <w:sz w:val="20"/>
          <w:szCs w:val="20"/>
        </w:rPr>
        <w:t>The CCTV system will be operated 24 hours each day, every day of the year.</w:t>
      </w:r>
    </w:p>
    <w:p>
      <w:pPr>
        <w:pStyle w:val="NoSpacing"/>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CCTV </w:t>
      </w:r>
    </w:p>
    <w:p>
      <w:pPr>
        <w:pStyle w:val="NoSpacing"/>
        <w:numPr>
          <w:ilvl w:val="1"/>
          <w:numId w:val="8"/>
        </w:numPr>
        <w:jc w:val="both"/>
        <w:rPr>
          <w:rFonts w:ascii="Sylfaen" w:hAnsi="Sylfaen" w:cs="Tahoma"/>
          <w:sz w:val="20"/>
          <w:szCs w:val="20"/>
        </w:rPr>
      </w:pPr>
      <w:r>
        <w:rPr>
          <w:rFonts w:ascii="Sylfaen" w:hAnsi="Sylfaen" w:cs="Tahoma"/>
          <w:sz w:val="20"/>
          <w:szCs w:val="20"/>
        </w:rPr>
        <w:t>The Site Manager will make routine checks to confirm the efficiency of the system daily and in particular that the equipment is properly recording and that cameras are functional and maintain maintenance system logs.</w:t>
      </w:r>
    </w:p>
    <w:p>
      <w:pPr>
        <w:pStyle w:val="NoSpacing"/>
        <w:numPr>
          <w:ilvl w:val="1"/>
          <w:numId w:val="8"/>
        </w:numPr>
        <w:jc w:val="both"/>
        <w:rPr>
          <w:rFonts w:ascii="Sylfaen" w:hAnsi="Sylfaen" w:cs="Tahoma"/>
          <w:sz w:val="20"/>
          <w:szCs w:val="20"/>
        </w:rPr>
      </w:pPr>
      <w:r>
        <w:rPr>
          <w:rFonts w:ascii="Sylfaen" w:hAnsi="Sylfaen" w:cs="Tahoma"/>
          <w:sz w:val="20"/>
          <w:szCs w:val="20"/>
        </w:rPr>
        <w:t xml:space="preserve">Access to the system will be strictly limited to the above members in 5.2. </w:t>
      </w:r>
    </w:p>
    <w:p>
      <w:pPr>
        <w:pStyle w:val="NoSpacing"/>
        <w:numPr>
          <w:ilvl w:val="1"/>
          <w:numId w:val="8"/>
        </w:numPr>
        <w:jc w:val="both"/>
        <w:rPr>
          <w:rFonts w:ascii="Sylfaen" w:hAnsi="Sylfaen" w:cs="Tahoma"/>
          <w:sz w:val="20"/>
          <w:szCs w:val="20"/>
        </w:rPr>
      </w:pPr>
      <w:r>
        <w:rPr>
          <w:rFonts w:ascii="Sylfaen" w:hAnsi="Sylfaen" w:cs="Tahoma"/>
          <w:sz w:val="20"/>
          <w:szCs w:val="20"/>
        </w:rPr>
        <w:t>If the need for maintenance arises the Site Manager must be satisfied of the identity and purpose of contractors before allowing access.</w:t>
      </w:r>
    </w:p>
    <w:p>
      <w:pPr>
        <w:pStyle w:val="NoSpacing"/>
        <w:numPr>
          <w:ilvl w:val="1"/>
          <w:numId w:val="8"/>
        </w:numPr>
        <w:jc w:val="both"/>
        <w:rPr>
          <w:rFonts w:ascii="Sylfaen" w:hAnsi="Sylfaen" w:cs="Tahoma"/>
          <w:sz w:val="20"/>
          <w:szCs w:val="20"/>
        </w:rPr>
      </w:pPr>
      <w:r>
        <w:rPr>
          <w:rFonts w:ascii="Sylfaen" w:hAnsi="Sylfaen" w:cs="Tahoma"/>
          <w:sz w:val="20"/>
          <w:szCs w:val="20"/>
        </w:rPr>
        <w:t xml:space="preserve">The system is set to record on a loop and therefore only records the last 30 days before data is overwritten. </w:t>
      </w:r>
    </w:p>
    <w:p>
      <w:pPr>
        <w:pStyle w:val="NoSpacing"/>
        <w:numPr>
          <w:ilvl w:val="1"/>
          <w:numId w:val="8"/>
        </w:numPr>
        <w:jc w:val="both"/>
        <w:rPr>
          <w:rFonts w:ascii="Sylfaen" w:hAnsi="Sylfaen" w:cs="Tahoma"/>
          <w:sz w:val="20"/>
          <w:szCs w:val="20"/>
        </w:rPr>
      </w:pPr>
      <w:r>
        <w:rPr>
          <w:rFonts w:ascii="Sylfaen" w:hAnsi="Sylfaen" w:cs="Tahoma"/>
          <w:sz w:val="20"/>
          <w:szCs w:val="20"/>
        </w:rPr>
        <w:t xml:space="preserve">Relevant data can be selected and downloaded onto an encrypted hard drive, which is only completed when an incident arises. These ‘copies’ are only made to provide information to the required authorities (police, local authority) if required as part of an investigation and kept for no longer than absolutely necessary. </w:t>
      </w:r>
    </w:p>
    <w:p>
      <w:pPr>
        <w:pStyle w:val="NoSpacing"/>
        <w:ind w:left="786"/>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Monitoring procedures </w:t>
      </w:r>
    </w:p>
    <w:p>
      <w:pPr>
        <w:pStyle w:val="NoSpacing"/>
        <w:numPr>
          <w:ilvl w:val="1"/>
          <w:numId w:val="9"/>
        </w:numPr>
        <w:jc w:val="both"/>
        <w:rPr>
          <w:rFonts w:ascii="Sylfaen" w:hAnsi="Sylfaen" w:cs="Tahoma"/>
          <w:sz w:val="20"/>
          <w:szCs w:val="20"/>
        </w:rPr>
      </w:pPr>
      <w:r>
        <w:rPr>
          <w:rFonts w:ascii="Sylfaen" w:hAnsi="Sylfaen" w:cs="Tahoma"/>
          <w:sz w:val="20"/>
          <w:szCs w:val="20"/>
        </w:rPr>
        <w:t xml:space="preserve">Camera surveillance may be maintained at all times. </w:t>
      </w:r>
    </w:p>
    <w:p>
      <w:pPr>
        <w:pStyle w:val="NoSpacing"/>
        <w:numPr>
          <w:ilvl w:val="1"/>
          <w:numId w:val="9"/>
        </w:numPr>
        <w:jc w:val="both"/>
        <w:rPr>
          <w:rFonts w:ascii="Sylfaen" w:hAnsi="Sylfaen" w:cs="Tahoma"/>
          <w:sz w:val="20"/>
          <w:szCs w:val="20"/>
        </w:rPr>
      </w:pPr>
      <w:r>
        <w:rPr>
          <w:rFonts w:ascii="Sylfaen" w:hAnsi="Sylfaen" w:cs="Tahoma"/>
          <w:sz w:val="20"/>
          <w:szCs w:val="20"/>
        </w:rPr>
        <w:t>For external CCTV cameras a dedicated monitor is set up in the main office to which pictures will be continuously recorded and viewed. – see 6.4.</w:t>
      </w:r>
    </w:p>
    <w:p>
      <w:pPr>
        <w:pStyle w:val="NoSpacing"/>
        <w:numPr>
          <w:ilvl w:val="1"/>
          <w:numId w:val="9"/>
        </w:numPr>
        <w:jc w:val="both"/>
        <w:rPr>
          <w:rFonts w:ascii="Sylfaen" w:hAnsi="Sylfaen" w:cs="Tahoma"/>
          <w:sz w:val="20"/>
          <w:szCs w:val="20"/>
        </w:rPr>
      </w:pPr>
      <w:r>
        <w:rPr>
          <w:rFonts w:ascii="Sylfaen" w:hAnsi="Sylfaen" w:cs="Tahoma"/>
          <w:sz w:val="20"/>
          <w:szCs w:val="20"/>
        </w:rPr>
        <w:t>Internal CCTV cameras have a dedicated monitor in the Site Managers office and will only record when there is movement in the room. This will only be viewed following an allegation or incident.</w:t>
      </w:r>
    </w:p>
    <w:p>
      <w:pPr>
        <w:pStyle w:val="NoSpacing"/>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Copies made from CCTV hard drive </w:t>
      </w:r>
    </w:p>
    <w:p>
      <w:pPr>
        <w:pStyle w:val="NoSpacing"/>
        <w:numPr>
          <w:ilvl w:val="1"/>
          <w:numId w:val="11"/>
        </w:numPr>
        <w:jc w:val="both"/>
        <w:rPr>
          <w:rFonts w:ascii="Sylfaen" w:hAnsi="Sylfaen" w:cs="Tahoma"/>
          <w:sz w:val="20"/>
          <w:szCs w:val="20"/>
        </w:rPr>
      </w:pPr>
      <w:r>
        <w:rPr>
          <w:rFonts w:ascii="Sylfaen" w:hAnsi="Sylfaen" w:cs="Tahoma"/>
          <w:sz w:val="20"/>
          <w:szCs w:val="20"/>
        </w:rPr>
        <w:t xml:space="preserve"> In order to maintain and preserve the integrity of the copies used to record events from the hard drive and the facility to use them in any further proceedings, the following procedures for their use and retention must be strictly adhered to: </w:t>
      </w:r>
    </w:p>
    <w:p>
      <w:pPr>
        <w:pStyle w:val="NoSpacing"/>
        <w:numPr>
          <w:ilvl w:val="2"/>
          <w:numId w:val="12"/>
        </w:numPr>
        <w:jc w:val="both"/>
        <w:rPr>
          <w:rFonts w:ascii="Sylfaen" w:hAnsi="Sylfaen" w:cs="Tahoma"/>
          <w:sz w:val="20"/>
          <w:szCs w:val="20"/>
        </w:rPr>
      </w:pPr>
      <w:r>
        <w:rPr>
          <w:rFonts w:ascii="Sylfaen" w:hAnsi="Sylfaen" w:cs="Tahoma"/>
          <w:sz w:val="20"/>
          <w:szCs w:val="20"/>
        </w:rPr>
        <w:t xml:space="preserve">Each copy must be identified by a unique mark. </w:t>
      </w:r>
    </w:p>
    <w:p>
      <w:pPr>
        <w:pStyle w:val="NoSpacing"/>
        <w:numPr>
          <w:ilvl w:val="2"/>
          <w:numId w:val="12"/>
        </w:numPr>
        <w:jc w:val="both"/>
        <w:rPr>
          <w:rFonts w:ascii="Sylfaen" w:hAnsi="Sylfaen" w:cs="Tahoma"/>
          <w:sz w:val="20"/>
          <w:szCs w:val="20"/>
        </w:rPr>
      </w:pPr>
      <w:r>
        <w:rPr>
          <w:rFonts w:ascii="Sylfaen" w:hAnsi="Sylfaen" w:cs="Tahoma"/>
          <w:sz w:val="20"/>
          <w:szCs w:val="20"/>
        </w:rPr>
        <w:t xml:space="preserve">The equipment used to make the copy must either be new or data erased before any recording is made onto it. </w:t>
      </w:r>
    </w:p>
    <w:p>
      <w:pPr>
        <w:pStyle w:val="NoSpacing"/>
        <w:numPr>
          <w:ilvl w:val="2"/>
          <w:numId w:val="12"/>
        </w:numPr>
        <w:jc w:val="both"/>
        <w:rPr>
          <w:rFonts w:ascii="Sylfaen" w:hAnsi="Sylfaen" w:cs="Tahoma"/>
          <w:sz w:val="20"/>
          <w:szCs w:val="20"/>
        </w:rPr>
      </w:pPr>
      <w:r>
        <w:rPr>
          <w:rFonts w:ascii="Sylfaen" w:hAnsi="Sylfaen" w:cs="Tahoma"/>
          <w:sz w:val="20"/>
          <w:szCs w:val="20"/>
        </w:rPr>
        <w:t xml:space="preserve">A register shall be kept of each copy recorded and who holds the copy including whether it has been passed onto other authorities such as the police. </w:t>
      </w:r>
    </w:p>
    <w:p>
      <w:pPr>
        <w:pStyle w:val="NoSpacing"/>
        <w:numPr>
          <w:ilvl w:val="1"/>
          <w:numId w:val="11"/>
        </w:numPr>
        <w:jc w:val="both"/>
        <w:rPr>
          <w:rFonts w:ascii="Sylfaen" w:hAnsi="Sylfaen" w:cs="Tahoma"/>
          <w:sz w:val="20"/>
          <w:szCs w:val="20"/>
        </w:rPr>
      </w:pPr>
      <w:r>
        <w:rPr>
          <w:rFonts w:ascii="Sylfaen" w:hAnsi="Sylfaen" w:cs="Tahoma"/>
          <w:sz w:val="20"/>
          <w:szCs w:val="20"/>
        </w:rPr>
        <w:t xml:space="preserve">CCTV may be viewed by the Police for the prevention and detection of crime, permission will be given by the Head teacher.   Viewing of DVDs by the Police must be recorded in writing and in the logbook. Requests by the Police can only be actioned under section 29 of the Data Protection Act 1998. </w:t>
      </w:r>
    </w:p>
    <w:p>
      <w:pPr>
        <w:pStyle w:val="NoSpacing"/>
        <w:numPr>
          <w:ilvl w:val="1"/>
          <w:numId w:val="11"/>
        </w:numPr>
        <w:jc w:val="both"/>
        <w:rPr>
          <w:rFonts w:ascii="Sylfaen" w:hAnsi="Sylfaen" w:cs="Tahoma"/>
          <w:sz w:val="20"/>
          <w:szCs w:val="20"/>
        </w:rPr>
      </w:pPr>
      <w:r>
        <w:rPr>
          <w:rFonts w:ascii="Sylfaen" w:hAnsi="Sylfaen" w:cs="Tahoma"/>
          <w:sz w:val="20"/>
          <w:szCs w:val="20"/>
        </w:rPr>
        <w:t xml:space="preserve">In absence of a court order or other legal process, copies will only be released to the Police on the clear understanding that the copy remains the property of the school. The school also retains the right to refuse permission for the Police to pass to any other person, or any part of the information contained thereon. </w:t>
      </w:r>
    </w:p>
    <w:p>
      <w:pPr>
        <w:pStyle w:val="NoSpacing"/>
        <w:numPr>
          <w:ilvl w:val="1"/>
          <w:numId w:val="11"/>
        </w:numPr>
        <w:jc w:val="both"/>
        <w:rPr>
          <w:rFonts w:ascii="Sylfaen" w:hAnsi="Sylfaen" w:cs="Tahoma"/>
          <w:sz w:val="20"/>
          <w:szCs w:val="20"/>
        </w:rPr>
      </w:pPr>
      <w:r>
        <w:rPr>
          <w:rFonts w:ascii="Sylfaen" w:hAnsi="Sylfaen" w:cs="Tahoma"/>
          <w:sz w:val="20"/>
          <w:szCs w:val="20"/>
        </w:rPr>
        <w:lastRenderedPageBreak/>
        <w:t xml:space="preserve">The Police may require the school to retain the copy for possible use as evidence in the future. Such copies will be properly indexed and securely stored in the CFO safe until they are needed by the Police. 5 </w:t>
      </w:r>
    </w:p>
    <w:p>
      <w:pPr>
        <w:pStyle w:val="NoSpacing"/>
        <w:numPr>
          <w:ilvl w:val="1"/>
          <w:numId w:val="11"/>
        </w:numPr>
        <w:jc w:val="both"/>
        <w:rPr>
          <w:rFonts w:ascii="Sylfaen" w:hAnsi="Sylfaen" w:cs="Tahoma"/>
          <w:sz w:val="20"/>
          <w:szCs w:val="20"/>
        </w:rPr>
      </w:pPr>
      <w:r>
        <w:rPr>
          <w:rFonts w:ascii="Sylfaen" w:hAnsi="Sylfaen" w:cs="Tahoma"/>
          <w:sz w:val="20"/>
          <w:szCs w:val="20"/>
        </w:rPr>
        <w:t xml:space="preserve">Access to the school safe is restricted to the CFO and two other finance staff only. </w:t>
      </w:r>
    </w:p>
    <w:p>
      <w:pPr>
        <w:pStyle w:val="NoSpacing"/>
        <w:numPr>
          <w:ilvl w:val="1"/>
          <w:numId w:val="11"/>
        </w:numPr>
        <w:jc w:val="both"/>
        <w:rPr>
          <w:rFonts w:ascii="Sylfaen" w:hAnsi="Sylfaen" w:cs="Tahoma"/>
          <w:sz w:val="20"/>
          <w:szCs w:val="20"/>
        </w:rPr>
      </w:pPr>
      <w:r>
        <w:rPr>
          <w:rFonts w:ascii="Sylfaen" w:hAnsi="Sylfaen" w:cs="Tahoma"/>
          <w:sz w:val="20"/>
          <w:szCs w:val="20"/>
        </w:rPr>
        <w:t xml:space="preserve">Applications received from outside bodies (e.g. solicitors) to view CCTV footage or release copies, will be referred to the Head teacher. In these circumstances copies will normally be released where satisfactory documentary evidence is produced showing that they are required for legal proceedings, a subject access request, or in response to a Court Order. </w:t>
      </w:r>
    </w:p>
    <w:p>
      <w:pPr>
        <w:pStyle w:val="NoSpacing"/>
        <w:ind w:left="786"/>
        <w:jc w:val="both"/>
        <w:rPr>
          <w:rFonts w:ascii="Sylfaen" w:hAnsi="Sylfaen" w:cs="Tahoma"/>
          <w:sz w:val="20"/>
          <w:szCs w:val="20"/>
        </w:rPr>
      </w:pPr>
    </w:p>
    <w:p>
      <w:pPr>
        <w:pStyle w:val="NoSpacing"/>
        <w:ind w:left="786"/>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Breaches of the code (including breaches of security) </w:t>
      </w:r>
    </w:p>
    <w:p>
      <w:pPr>
        <w:pStyle w:val="NoSpacing"/>
        <w:numPr>
          <w:ilvl w:val="1"/>
          <w:numId w:val="13"/>
        </w:numPr>
        <w:jc w:val="both"/>
        <w:rPr>
          <w:rFonts w:ascii="Sylfaen" w:hAnsi="Sylfaen" w:cs="Tahoma"/>
          <w:sz w:val="20"/>
          <w:szCs w:val="20"/>
        </w:rPr>
      </w:pPr>
      <w:r>
        <w:rPr>
          <w:rFonts w:ascii="Sylfaen" w:hAnsi="Sylfaen" w:cs="Tahoma"/>
          <w:sz w:val="20"/>
          <w:szCs w:val="20"/>
        </w:rPr>
        <w:t xml:space="preserve">Any breach of the code of practice by staff will be initially investigated by the Head teacher, in order for them to take the appropriate disciplinary action. </w:t>
      </w:r>
    </w:p>
    <w:p>
      <w:pPr>
        <w:pStyle w:val="NoSpacing"/>
        <w:numPr>
          <w:ilvl w:val="1"/>
          <w:numId w:val="13"/>
        </w:numPr>
        <w:jc w:val="both"/>
        <w:rPr>
          <w:rFonts w:ascii="Sylfaen" w:hAnsi="Sylfaen" w:cs="Tahoma"/>
          <w:sz w:val="20"/>
          <w:szCs w:val="20"/>
        </w:rPr>
      </w:pPr>
      <w:r>
        <w:rPr>
          <w:rFonts w:ascii="Sylfaen" w:hAnsi="Sylfaen" w:cs="Tahoma"/>
          <w:sz w:val="20"/>
          <w:szCs w:val="20"/>
        </w:rPr>
        <w:t>Any serious breach of the code of practice will be immediately escalated to the Data Protection Practitioner (DPP) and Data Protection Officer (DPO)</w:t>
      </w:r>
      <w:bookmarkStart w:id="0" w:name="_GoBack"/>
      <w:bookmarkEnd w:id="0"/>
      <w:r>
        <w:rPr>
          <w:rFonts w:ascii="Sylfaen" w:hAnsi="Sylfaen" w:cs="Tahoma"/>
          <w:sz w:val="20"/>
          <w:szCs w:val="20"/>
        </w:rPr>
        <w:t xml:space="preserve"> for investigations to be carried out and if necessary escalated to the ICO and make recommendations on how to remedy the breach.  </w:t>
      </w:r>
    </w:p>
    <w:p>
      <w:pPr>
        <w:autoSpaceDE w:val="0"/>
        <w:autoSpaceDN w:val="0"/>
        <w:adjustRightInd w:val="0"/>
        <w:spacing w:after="0" w:line="240" w:lineRule="auto"/>
        <w:jc w:val="both"/>
        <w:rPr>
          <w:rFonts w:ascii="Sylfaen" w:hAnsi="Sylfaen" w:cs="Tahoma"/>
          <w:sz w:val="20"/>
          <w:szCs w:val="20"/>
        </w:rPr>
      </w:pPr>
    </w:p>
    <w:p>
      <w:pPr>
        <w:pStyle w:val="NoSpacing"/>
        <w:numPr>
          <w:ilvl w:val="0"/>
          <w:numId w:val="1"/>
        </w:numPr>
        <w:jc w:val="both"/>
        <w:rPr>
          <w:rFonts w:ascii="Sylfaen" w:hAnsi="Sylfaen" w:cs="Tahoma"/>
          <w:b/>
          <w:sz w:val="20"/>
          <w:szCs w:val="20"/>
        </w:rPr>
      </w:pPr>
      <w:r>
        <w:rPr>
          <w:rFonts w:ascii="Sylfaen" w:hAnsi="Sylfaen" w:cs="Tahoma"/>
          <w:b/>
          <w:sz w:val="20"/>
          <w:szCs w:val="20"/>
        </w:rPr>
        <w:t xml:space="preserve">Assessment of the scheme and code of practice </w:t>
      </w:r>
    </w:p>
    <w:p>
      <w:pPr>
        <w:pStyle w:val="NoSpacing"/>
        <w:ind w:left="360"/>
        <w:jc w:val="both"/>
        <w:rPr>
          <w:rFonts w:ascii="Sylfaen" w:hAnsi="Sylfaen" w:cs="Tahoma"/>
          <w:b/>
          <w:sz w:val="20"/>
          <w:szCs w:val="20"/>
        </w:rPr>
      </w:pPr>
      <w:r>
        <w:rPr>
          <w:rFonts w:ascii="Sylfaen" w:hAnsi="Sylfaen" w:cs="Tahoma"/>
          <w:sz w:val="20"/>
          <w:szCs w:val="20"/>
        </w:rPr>
        <w:t xml:space="preserve">10.1 Performance and random operating checks may be carried out by the DPP and DPO.  </w:t>
      </w:r>
    </w:p>
    <w:p>
      <w:pPr>
        <w:pStyle w:val="NoSpacing"/>
        <w:ind w:left="786"/>
        <w:jc w:val="both"/>
        <w:rPr>
          <w:rFonts w:ascii="Sylfaen" w:hAnsi="Sylfaen" w:cs="Tahoma"/>
          <w:sz w:val="20"/>
          <w:szCs w:val="20"/>
        </w:rPr>
      </w:pPr>
    </w:p>
    <w:p>
      <w:pPr>
        <w:pStyle w:val="ListParagraph"/>
        <w:numPr>
          <w:ilvl w:val="0"/>
          <w:numId w:val="1"/>
        </w:numPr>
        <w:autoSpaceDE w:val="0"/>
        <w:autoSpaceDN w:val="0"/>
        <w:adjustRightInd w:val="0"/>
        <w:spacing w:after="0" w:line="240" w:lineRule="auto"/>
        <w:jc w:val="both"/>
        <w:rPr>
          <w:rFonts w:ascii="Sylfaen" w:hAnsi="Sylfaen" w:cs="Tahoma"/>
          <w:b/>
          <w:sz w:val="20"/>
          <w:szCs w:val="20"/>
        </w:rPr>
      </w:pPr>
      <w:r>
        <w:rPr>
          <w:rFonts w:ascii="Sylfaen" w:hAnsi="Sylfaen" w:cs="Tahoma"/>
          <w:b/>
          <w:sz w:val="20"/>
          <w:szCs w:val="20"/>
        </w:rPr>
        <w:t xml:space="preserve">Complaints </w:t>
      </w:r>
    </w:p>
    <w:p>
      <w:pPr>
        <w:pStyle w:val="NoSpacing"/>
        <w:ind w:firstLine="360"/>
        <w:jc w:val="both"/>
        <w:rPr>
          <w:rFonts w:ascii="Sylfaen" w:hAnsi="Sylfaen" w:cs="Tahoma"/>
          <w:sz w:val="20"/>
          <w:szCs w:val="20"/>
        </w:rPr>
      </w:pPr>
      <w:r>
        <w:rPr>
          <w:rFonts w:ascii="Sylfaen" w:hAnsi="Sylfaen" w:cs="Tahoma"/>
          <w:sz w:val="20"/>
          <w:szCs w:val="20"/>
        </w:rPr>
        <w:t xml:space="preserve">11.1 Any complaints about the CCTV system should be addressed to the Head teacher. </w:t>
      </w:r>
    </w:p>
    <w:p>
      <w:pPr>
        <w:pStyle w:val="NoSpacing"/>
        <w:ind w:firstLine="360"/>
        <w:jc w:val="both"/>
        <w:rPr>
          <w:rFonts w:ascii="Sylfaen" w:hAnsi="Sylfaen" w:cs="Tahoma"/>
          <w:sz w:val="20"/>
          <w:szCs w:val="20"/>
        </w:rPr>
      </w:pPr>
      <w:r>
        <w:rPr>
          <w:rFonts w:ascii="Sylfaen" w:hAnsi="Sylfaen" w:cs="Tahoma"/>
          <w:sz w:val="20"/>
          <w:szCs w:val="20"/>
        </w:rPr>
        <w:t xml:space="preserve">11.2 Complaints will be investigated in accordance with section 9. </w:t>
      </w:r>
    </w:p>
    <w:p>
      <w:pPr>
        <w:pStyle w:val="NoSpacing"/>
        <w:ind w:left="786"/>
        <w:jc w:val="both"/>
        <w:rPr>
          <w:rFonts w:ascii="Sylfaen" w:hAnsi="Sylfaen" w:cs="Tahoma"/>
          <w:sz w:val="20"/>
          <w:szCs w:val="20"/>
        </w:rPr>
      </w:pPr>
    </w:p>
    <w:p>
      <w:pPr>
        <w:pStyle w:val="ListParagraph"/>
        <w:numPr>
          <w:ilvl w:val="0"/>
          <w:numId w:val="1"/>
        </w:numPr>
        <w:autoSpaceDE w:val="0"/>
        <w:autoSpaceDN w:val="0"/>
        <w:adjustRightInd w:val="0"/>
        <w:spacing w:after="0" w:line="240" w:lineRule="auto"/>
        <w:jc w:val="both"/>
        <w:rPr>
          <w:rFonts w:ascii="Sylfaen" w:hAnsi="Sylfaen" w:cs="Tahoma"/>
          <w:b/>
          <w:sz w:val="20"/>
          <w:szCs w:val="20"/>
        </w:rPr>
      </w:pPr>
      <w:r>
        <w:rPr>
          <w:rFonts w:ascii="Sylfaen" w:hAnsi="Sylfaen" w:cs="Tahoma"/>
          <w:b/>
          <w:sz w:val="20"/>
          <w:szCs w:val="20"/>
        </w:rPr>
        <w:t xml:space="preserve">Access by the Data Subject </w:t>
      </w:r>
    </w:p>
    <w:p>
      <w:pPr>
        <w:autoSpaceDE w:val="0"/>
        <w:autoSpaceDN w:val="0"/>
        <w:adjustRightInd w:val="0"/>
        <w:spacing w:after="0" w:line="240" w:lineRule="auto"/>
        <w:ind w:left="360"/>
        <w:jc w:val="both"/>
        <w:rPr>
          <w:rFonts w:ascii="Sylfaen" w:hAnsi="Sylfaen" w:cs="Tahoma"/>
          <w:b/>
          <w:sz w:val="20"/>
          <w:szCs w:val="20"/>
        </w:rPr>
      </w:pPr>
      <w:r>
        <w:rPr>
          <w:rFonts w:ascii="Sylfaen" w:hAnsi="Sylfaen" w:cs="Tahoma"/>
          <w:sz w:val="20"/>
          <w:szCs w:val="20"/>
        </w:rPr>
        <w:t xml:space="preserve">12.1 The Data Protection Act provides data subjects (individuals to whom “personal data” relate) with a right to data held about them, including those obtained by CCTV. </w:t>
      </w:r>
    </w:p>
    <w:p>
      <w:pPr>
        <w:pStyle w:val="NoSpacing"/>
        <w:ind w:left="360"/>
        <w:jc w:val="both"/>
        <w:rPr>
          <w:rFonts w:ascii="Sylfaen" w:hAnsi="Sylfaen" w:cs="Tahoma"/>
          <w:sz w:val="20"/>
          <w:szCs w:val="20"/>
        </w:rPr>
      </w:pPr>
      <w:r>
        <w:rPr>
          <w:rFonts w:ascii="Sylfaen" w:hAnsi="Sylfaen" w:cs="Tahoma"/>
          <w:sz w:val="20"/>
          <w:szCs w:val="20"/>
        </w:rPr>
        <w:t xml:space="preserve">12.2 Requests for Data Subject Access should be made to the Data Protection Practitioner of the school at </w:t>
      </w:r>
      <w:hyperlink r:id="rId7" w:history="1">
        <w:r>
          <w:rPr>
            <w:rFonts w:ascii="Sylfaen" w:hAnsi="Sylfaen" w:cs="Tahoma"/>
            <w:sz w:val="20"/>
            <w:szCs w:val="20"/>
          </w:rPr>
          <w:t>mandy.crow@romanfields.herts.sch.uk</w:t>
        </w:r>
      </w:hyperlink>
      <w:r>
        <w:rPr>
          <w:rFonts w:ascii="Sylfaen" w:hAnsi="Sylfaen" w:cs="Tahoma"/>
          <w:sz w:val="20"/>
          <w:szCs w:val="20"/>
        </w:rPr>
        <w:t>.</w:t>
      </w:r>
    </w:p>
    <w:p>
      <w:pPr>
        <w:pStyle w:val="NoSpacing"/>
        <w:jc w:val="both"/>
        <w:rPr>
          <w:rFonts w:ascii="Sylfaen" w:hAnsi="Sylfaen" w:cs="Tahoma"/>
          <w:sz w:val="20"/>
          <w:szCs w:val="20"/>
        </w:rPr>
      </w:pPr>
    </w:p>
    <w:p>
      <w:pPr>
        <w:pStyle w:val="ListParagraph"/>
        <w:numPr>
          <w:ilvl w:val="0"/>
          <w:numId w:val="1"/>
        </w:numPr>
        <w:autoSpaceDE w:val="0"/>
        <w:autoSpaceDN w:val="0"/>
        <w:adjustRightInd w:val="0"/>
        <w:spacing w:after="0" w:line="240" w:lineRule="auto"/>
        <w:jc w:val="both"/>
        <w:rPr>
          <w:rFonts w:ascii="Sylfaen" w:hAnsi="Sylfaen" w:cs="Tahoma"/>
          <w:b/>
          <w:sz w:val="20"/>
          <w:szCs w:val="20"/>
        </w:rPr>
      </w:pPr>
      <w:r>
        <w:rPr>
          <w:rFonts w:ascii="Sylfaen" w:hAnsi="Sylfaen" w:cs="Tahoma"/>
          <w:b/>
          <w:sz w:val="20"/>
          <w:szCs w:val="20"/>
        </w:rPr>
        <w:t xml:space="preserve">Public information </w:t>
      </w:r>
    </w:p>
    <w:p>
      <w:pPr>
        <w:pStyle w:val="NoSpacing"/>
        <w:ind w:firstLine="360"/>
        <w:jc w:val="both"/>
        <w:rPr>
          <w:rFonts w:ascii="Sylfaen" w:hAnsi="Sylfaen" w:cs="Tahoma"/>
          <w:sz w:val="20"/>
          <w:szCs w:val="20"/>
        </w:rPr>
      </w:pPr>
      <w:r>
        <w:rPr>
          <w:rFonts w:ascii="Sylfaen" w:hAnsi="Sylfaen" w:cs="Tahoma"/>
          <w:sz w:val="20"/>
          <w:szCs w:val="20"/>
        </w:rPr>
        <w:t xml:space="preserve">13.1 Copies of this code of practice will be available via the school website. </w:t>
      </w:r>
    </w:p>
    <w:p>
      <w:pPr>
        <w:pStyle w:val="NoSpacing"/>
        <w:jc w:val="both"/>
        <w:rPr>
          <w:rFonts w:ascii="Sylfaen" w:hAnsi="Sylfaen" w:cs="Tahoma"/>
          <w:sz w:val="20"/>
          <w:szCs w:val="20"/>
        </w:rPr>
      </w:pPr>
    </w:p>
    <w:p>
      <w:pPr>
        <w:pStyle w:val="ListParagraph"/>
        <w:numPr>
          <w:ilvl w:val="0"/>
          <w:numId w:val="1"/>
        </w:numPr>
        <w:autoSpaceDE w:val="0"/>
        <w:autoSpaceDN w:val="0"/>
        <w:adjustRightInd w:val="0"/>
        <w:spacing w:after="0" w:line="240" w:lineRule="auto"/>
        <w:jc w:val="both"/>
        <w:rPr>
          <w:rFonts w:ascii="Sylfaen" w:hAnsi="Sylfaen" w:cs="Tahoma"/>
          <w:b/>
          <w:sz w:val="20"/>
          <w:szCs w:val="20"/>
        </w:rPr>
      </w:pPr>
      <w:r>
        <w:rPr>
          <w:rFonts w:ascii="Sylfaen" w:hAnsi="Sylfaen" w:cs="Tahoma"/>
          <w:b/>
          <w:sz w:val="20"/>
          <w:szCs w:val="20"/>
        </w:rPr>
        <w:t xml:space="preserve">Legal Requirements </w:t>
      </w:r>
    </w:p>
    <w:p>
      <w:pPr>
        <w:pStyle w:val="NoSpacing"/>
        <w:ind w:left="360"/>
        <w:jc w:val="both"/>
        <w:rPr>
          <w:rFonts w:ascii="Sylfaen" w:hAnsi="Sylfaen" w:cs="Tahoma"/>
          <w:sz w:val="20"/>
          <w:szCs w:val="20"/>
        </w:rPr>
      </w:pPr>
      <w:r>
        <w:rPr>
          <w:rFonts w:ascii="Sylfaen" w:hAnsi="Sylfaen" w:cs="Tahoma"/>
          <w:sz w:val="20"/>
          <w:szCs w:val="20"/>
        </w:rPr>
        <w:t xml:space="preserve">14.1 The use of CCTV at the schools will be registered with the Information </w:t>
      </w:r>
    </w:p>
    <w:p>
      <w:pPr>
        <w:pStyle w:val="NoSpacing"/>
        <w:ind w:left="360"/>
        <w:jc w:val="both"/>
        <w:rPr>
          <w:rFonts w:ascii="Sylfaen" w:hAnsi="Sylfaen" w:cs="Tahoma"/>
          <w:sz w:val="20"/>
          <w:szCs w:val="20"/>
        </w:rPr>
      </w:pPr>
      <w:r>
        <w:rPr>
          <w:rFonts w:ascii="Sylfaen" w:hAnsi="Sylfaen" w:cs="Tahoma"/>
          <w:sz w:val="20"/>
          <w:szCs w:val="20"/>
        </w:rPr>
        <w:t xml:space="preserve">       Commissioner in compliance with the Data Protection Act. </w:t>
      </w:r>
    </w:p>
    <w:p>
      <w:pPr>
        <w:pStyle w:val="NoSpacing"/>
        <w:ind w:firstLine="360"/>
        <w:jc w:val="both"/>
        <w:rPr>
          <w:rFonts w:ascii="Sylfaen" w:hAnsi="Sylfaen" w:cs="Tahoma"/>
          <w:sz w:val="20"/>
          <w:szCs w:val="20"/>
        </w:rPr>
      </w:pPr>
      <w:r>
        <w:rPr>
          <w:rFonts w:ascii="Sylfaen" w:hAnsi="Sylfaen" w:cs="Tahoma"/>
          <w:sz w:val="20"/>
          <w:szCs w:val="20"/>
        </w:rPr>
        <w:t xml:space="preserve">14.2 Signs where CCTV is in operation will be displayed in appropriate areas. </w:t>
      </w:r>
    </w:p>
    <w:p>
      <w:pPr>
        <w:pStyle w:val="NoSpacing"/>
        <w:ind w:firstLine="360"/>
        <w:jc w:val="both"/>
        <w:rPr>
          <w:rFonts w:ascii="Sylfaen" w:hAnsi="Sylfaen"/>
          <w:sz w:val="20"/>
          <w:szCs w:val="20"/>
        </w:rPr>
      </w:pPr>
      <w:r>
        <w:rPr>
          <w:rFonts w:ascii="Sylfaen" w:hAnsi="Sylfaen" w:cs="Tahoma"/>
          <w:sz w:val="20"/>
          <w:szCs w:val="20"/>
        </w:rPr>
        <w:t xml:space="preserve">14.3 There will be reviews and audit mechanisms to ensure </w:t>
      </w:r>
      <w:r>
        <w:rPr>
          <w:rFonts w:ascii="Sylfaen" w:hAnsi="Sylfaen"/>
          <w:sz w:val="20"/>
          <w:szCs w:val="20"/>
        </w:rPr>
        <w:t xml:space="preserve">legal requirements, policies and </w:t>
      </w:r>
    </w:p>
    <w:p>
      <w:pPr>
        <w:pStyle w:val="NoSpacing"/>
        <w:ind w:firstLine="360"/>
        <w:jc w:val="both"/>
        <w:rPr>
          <w:rFonts w:ascii="Sylfaen" w:hAnsi="Sylfaen" w:cs="Tahoma"/>
          <w:sz w:val="20"/>
          <w:szCs w:val="20"/>
        </w:rPr>
      </w:pPr>
      <w:r>
        <w:rPr>
          <w:rFonts w:ascii="Sylfaen" w:hAnsi="Sylfaen"/>
          <w:sz w:val="20"/>
          <w:szCs w:val="20"/>
        </w:rPr>
        <w:t xml:space="preserve">         standards are complied with in practice.</w:t>
      </w:r>
    </w:p>
    <w:p>
      <w:pPr>
        <w:pageBreakBefore/>
        <w:autoSpaceDE w:val="0"/>
        <w:autoSpaceDN w:val="0"/>
        <w:adjustRightInd w:val="0"/>
        <w:spacing w:after="0" w:line="240" w:lineRule="auto"/>
        <w:jc w:val="both"/>
        <w:rPr>
          <w:rFonts w:ascii="Sylfaen" w:hAnsi="Sylfaen" w:cs="Tahoma"/>
          <w:sz w:val="20"/>
          <w:szCs w:val="20"/>
        </w:rPr>
      </w:pPr>
    </w:p>
    <w:p>
      <w:pPr>
        <w:autoSpaceDE w:val="0"/>
        <w:autoSpaceDN w:val="0"/>
        <w:adjustRightInd w:val="0"/>
        <w:spacing w:after="0" w:line="240" w:lineRule="auto"/>
        <w:jc w:val="both"/>
        <w:rPr>
          <w:rFonts w:ascii="Sylfaen" w:hAnsi="Sylfaen" w:cs="Tahoma"/>
          <w:sz w:val="20"/>
          <w:szCs w:val="20"/>
        </w:rPr>
      </w:pPr>
      <w:r>
        <w:rPr>
          <w:rFonts w:ascii="Sylfaen" w:hAnsi="Sylfaen" w:cs="Tahoma"/>
          <w:b/>
          <w:bCs/>
          <w:sz w:val="20"/>
          <w:szCs w:val="20"/>
        </w:rPr>
        <w:t xml:space="preserve">Summary of Key Points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This Code of Practice will be reviewed every two years.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The CCTV system is owned and operated by the school.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The system will not be monitored out of school hours.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Copies will be used properly, indexed, stored and destroyed after appropriate use.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Copies may only be viewed by authorised personnel and approved authorities.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Copies required as evidence will be properly recorded, witnessed and packaged before copies are released.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Copies will not be made available to the media for commercial or entertainment purposes.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Copies will be disposed of securely by incineration.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 xml:space="preserve">Schools must use these procedures and comply with the requirements set out in the procedure documentation at Herts County Council. Contact the Data Protection Practitioner if you require more information. </w:t>
      </w:r>
    </w:p>
    <w:p>
      <w:pPr>
        <w:pStyle w:val="ListParagraph"/>
        <w:numPr>
          <w:ilvl w:val="0"/>
          <w:numId w:val="42"/>
        </w:numPr>
        <w:autoSpaceDE w:val="0"/>
        <w:autoSpaceDN w:val="0"/>
        <w:adjustRightInd w:val="0"/>
        <w:spacing w:after="10" w:line="240" w:lineRule="auto"/>
        <w:jc w:val="both"/>
        <w:rPr>
          <w:rFonts w:ascii="Sylfaen" w:hAnsi="Sylfaen" w:cs="Tahoma"/>
          <w:sz w:val="20"/>
          <w:szCs w:val="20"/>
        </w:rPr>
      </w:pPr>
      <w:r>
        <w:rPr>
          <w:rFonts w:ascii="Sylfaen" w:hAnsi="Sylfaen" w:cs="Tahoma"/>
          <w:sz w:val="20"/>
          <w:szCs w:val="20"/>
        </w:rPr>
        <w:t>Any breaches of this code will be investigated by the Head teacher. The DPP or DPO will investigate any serious breaches and notify the relevant authorities.</w:t>
      </w:r>
    </w:p>
    <w:p>
      <w:pPr>
        <w:pStyle w:val="ListParagraph"/>
        <w:numPr>
          <w:ilvl w:val="0"/>
          <w:numId w:val="42"/>
        </w:numPr>
        <w:autoSpaceDE w:val="0"/>
        <w:autoSpaceDN w:val="0"/>
        <w:adjustRightInd w:val="0"/>
        <w:spacing w:after="0" w:line="240" w:lineRule="auto"/>
        <w:jc w:val="both"/>
        <w:rPr>
          <w:rFonts w:ascii="Sylfaen" w:hAnsi="Sylfaen" w:cs="Tahoma"/>
          <w:sz w:val="20"/>
          <w:szCs w:val="20"/>
        </w:rPr>
      </w:pPr>
      <w:r>
        <w:rPr>
          <w:rFonts w:ascii="Sylfaen" w:hAnsi="Sylfaen" w:cs="Tahoma"/>
          <w:sz w:val="20"/>
          <w:szCs w:val="20"/>
        </w:rPr>
        <w:t xml:space="preserve">Breaches of the code and remedies will be reported to the Head teacher. </w:t>
      </w:r>
    </w:p>
    <w:p>
      <w:pPr>
        <w:autoSpaceDE w:val="0"/>
        <w:autoSpaceDN w:val="0"/>
        <w:adjustRightInd w:val="0"/>
        <w:spacing w:after="0" w:line="240" w:lineRule="auto"/>
        <w:jc w:val="both"/>
        <w:rPr>
          <w:rFonts w:ascii="Sylfaen" w:hAnsi="Sylfaen" w:cs="Tahoma"/>
          <w:sz w:val="20"/>
          <w:szCs w:val="20"/>
        </w:rPr>
      </w:pPr>
    </w:p>
    <w:p>
      <w:pPr>
        <w:autoSpaceDE w:val="0"/>
        <w:autoSpaceDN w:val="0"/>
        <w:adjustRightInd w:val="0"/>
        <w:spacing w:after="0" w:line="240" w:lineRule="auto"/>
        <w:jc w:val="both"/>
        <w:rPr>
          <w:rFonts w:ascii="Sylfaen" w:hAnsi="Sylfaen" w:cs="Tahoma"/>
          <w:sz w:val="20"/>
          <w:szCs w:val="20"/>
        </w:rPr>
      </w:pPr>
    </w:p>
    <w:p>
      <w:pPr>
        <w:pStyle w:val="NoSpacing"/>
        <w:jc w:val="both"/>
        <w:rPr>
          <w:rFonts w:ascii="Sylfaen" w:hAnsi="Sylfaen" w:cs="Tahoma"/>
          <w:sz w:val="20"/>
          <w:szCs w:val="20"/>
        </w:rPr>
      </w:pPr>
    </w:p>
    <w:p>
      <w:pPr>
        <w:rPr>
          <w:rFonts w:ascii="Sylfaen" w:hAnsi="Sylfaen" w:cs="Tahoma"/>
          <w:sz w:val="20"/>
          <w:szCs w:val="20"/>
        </w:rPr>
      </w:pPr>
      <w:r>
        <w:rPr>
          <w:rFonts w:ascii="Sylfaen" w:hAnsi="Sylfaen" w:cs="Tahoma"/>
          <w:sz w:val="20"/>
          <w:szCs w:val="20"/>
        </w:rPr>
        <w:br w:type="page"/>
      </w:r>
    </w:p>
    <w:p>
      <w:pPr>
        <w:pStyle w:val="NoSpacing"/>
        <w:jc w:val="both"/>
        <w:rPr>
          <w:rFonts w:ascii="Sylfaen" w:hAnsi="Sylfaen" w:cs="Tahoma"/>
          <w:b/>
          <w:sz w:val="20"/>
          <w:szCs w:val="20"/>
          <w:u w:val="single"/>
        </w:rPr>
      </w:pPr>
      <w:r>
        <w:rPr>
          <w:rFonts w:ascii="Sylfaen" w:hAnsi="Sylfaen" w:cs="Tahoma"/>
          <w:b/>
          <w:sz w:val="20"/>
          <w:szCs w:val="20"/>
          <w:u w:val="single"/>
        </w:rPr>
        <w:lastRenderedPageBreak/>
        <w:t>Appendix 1 – CCTV Locations</w:t>
      </w:r>
    </w:p>
    <w:p>
      <w:pPr>
        <w:pStyle w:val="NoSpacing"/>
        <w:jc w:val="both"/>
        <w:rPr>
          <w:rFonts w:ascii="Sylfaen" w:hAnsi="Sylfaen" w:cs="Tahoma"/>
          <w:b/>
          <w:sz w:val="20"/>
          <w:szCs w:val="20"/>
          <w:u w:val="single"/>
        </w:rPr>
      </w:pPr>
    </w:p>
    <w:tbl>
      <w:tblPr>
        <w:tblW w:w="8158" w:type="dxa"/>
        <w:tblInd w:w="93" w:type="dxa"/>
        <w:tblLook w:val="04A0" w:firstRow="1" w:lastRow="0" w:firstColumn="1" w:lastColumn="0" w:noHBand="0" w:noVBand="1"/>
      </w:tblPr>
      <w:tblGrid>
        <w:gridCol w:w="566"/>
        <w:gridCol w:w="826"/>
        <w:gridCol w:w="133"/>
        <w:gridCol w:w="755"/>
        <w:gridCol w:w="276"/>
        <w:gridCol w:w="3102"/>
        <w:gridCol w:w="276"/>
        <w:gridCol w:w="424"/>
        <w:gridCol w:w="276"/>
        <w:gridCol w:w="1248"/>
        <w:gridCol w:w="276"/>
      </w:tblGrid>
      <w:tr>
        <w:trPr>
          <w:trHeight w:val="360"/>
        </w:trPr>
        <w:tc>
          <w:tcPr>
            <w:tcW w:w="8158" w:type="dxa"/>
            <w:gridSpan w:val="11"/>
            <w:tcBorders>
              <w:top w:val="single" w:sz="4" w:space="0" w:color="auto"/>
              <w:left w:val="single" w:sz="4" w:space="0" w:color="auto"/>
              <w:right w:val="single" w:sz="4" w:space="0" w:color="auto"/>
            </w:tcBorders>
            <w:shd w:val="clear" w:color="auto" w:fill="17365D" w:themeFill="text2" w:themeFillShade="BF"/>
            <w:noWrap/>
            <w:vAlign w:val="bottom"/>
          </w:tcPr>
          <w:p>
            <w:pPr>
              <w:spacing w:after="0" w:line="240" w:lineRule="auto"/>
              <w:rPr>
                <w:rFonts w:ascii="Sylfaen" w:eastAsia="Times New Roman" w:hAnsi="Sylfaen" w:cs="Tahoma"/>
                <w:color w:val="FFFFFF" w:themeColor="background1"/>
                <w:sz w:val="20"/>
                <w:szCs w:val="20"/>
                <w:lang w:eastAsia="en-GB"/>
              </w:rPr>
            </w:pPr>
            <w:r>
              <w:rPr>
                <w:rFonts w:ascii="Sylfaen" w:eastAsia="Times New Roman" w:hAnsi="Sylfaen" w:cs="Tahoma"/>
                <w:color w:val="FFFFFF" w:themeColor="background1"/>
                <w:sz w:val="20"/>
                <w:szCs w:val="20"/>
                <w:lang w:eastAsia="en-GB"/>
              </w:rPr>
              <w:t>Internal CCTV</w:t>
            </w: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Block</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Room</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p>
        </w:tc>
        <w:tc>
          <w:tcPr>
            <w:tcW w:w="700"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A</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6</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Head Teachers Office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A</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10</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A</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33</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Food Tech</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4</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Office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5</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8</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Dining Hall</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6</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12</w:t>
            </w:r>
          </w:p>
        </w:tc>
        <w:tc>
          <w:tcPr>
            <w:tcW w:w="4078" w:type="dxa"/>
            <w:gridSpan w:val="4"/>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Games Room</w:t>
            </w: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7</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14</w:t>
            </w:r>
          </w:p>
        </w:tc>
        <w:tc>
          <w:tcPr>
            <w:tcW w:w="5602" w:type="dxa"/>
            <w:gridSpan w:val="6"/>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Classroom/Interventions</w:t>
            </w: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8</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55</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w:t>
            </w:r>
          </w:p>
        </w:tc>
        <w:tc>
          <w:tcPr>
            <w:tcW w:w="2224" w:type="dxa"/>
            <w:gridSpan w:val="4"/>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9</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63</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Maths</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10</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69</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Maths</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11</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70</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Maths</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12</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74</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Kitchen</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13</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86</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Film Studio</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14</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87</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Film Studio</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15</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92</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 xml:space="preserve">DJ Room / Classroom </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16</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93</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Music Room</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17</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7</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PSHEE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18</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5</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IT</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19</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8</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Science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20</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Science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21</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Art</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22</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Art</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23</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J</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English</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24</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J</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4</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English</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25</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K</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w:t>
            </w: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Classroom English</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26</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L</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Gym</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trHeight w:val="360"/>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27</w:t>
            </w:r>
          </w:p>
        </w:tc>
        <w:tc>
          <w:tcPr>
            <w:tcW w:w="959"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L</w:t>
            </w:r>
          </w:p>
        </w:tc>
        <w:tc>
          <w:tcPr>
            <w:tcW w:w="1031"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Sports Hall</w:t>
            </w:r>
          </w:p>
        </w:tc>
        <w:tc>
          <w:tcPr>
            <w:tcW w:w="700"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p>
        </w:tc>
      </w:tr>
      <w:tr>
        <w:trPr>
          <w:gridAfter w:val="1"/>
          <w:wAfter w:w="276" w:type="dxa"/>
          <w:trHeight w:val="360"/>
        </w:trPr>
        <w:tc>
          <w:tcPr>
            <w:tcW w:w="7882" w:type="dxa"/>
            <w:gridSpan w:val="10"/>
            <w:shd w:val="clear" w:color="auto" w:fill="auto"/>
            <w:noWrap/>
            <w:vAlign w:val="bottom"/>
          </w:tcPr>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p>
            <w:pPr>
              <w:spacing w:after="0" w:line="240" w:lineRule="auto"/>
              <w:rPr>
                <w:rFonts w:ascii="Sylfaen" w:eastAsia="Times New Roman" w:hAnsi="Sylfaen" w:cs="Tahoma"/>
                <w:color w:val="FFFFFF" w:themeColor="background1"/>
                <w:sz w:val="20"/>
                <w:szCs w:val="20"/>
                <w:lang w:eastAsia="en-GB"/>
              </w:rPr>
            </w:pPr>
          </w:p>
        </w:tc>
      </w:tr>
      <w:tr>
        <w:trPr>
          <w:gridAfter w:val="1"/>
          <w:wAfter w:w="276" w:type="dxa"/>
          <w:trHeight w:val="360"/>
        </w:trPr>
        <w:tc>
          <w:tcPr>
            <w:tcW w:w="7882" w:type="dxa"/>
            <w:gridSpan w:val="10"/>
            <w:tcBorders>
              <w:top w:val="single" w:sz="4" w:space="0" w:color="auto"/>
              <w:left w:val="single" w:sz="4" w:space="0" w:color="auto"/>
              <w:right w:val="single" w:sz="4" w:space="0" w:color="auto"/>
            </w:tcBorders>
            <w:shd w:val="clear" w:color="auto" w:fill="17365D" w:themeFill="text2" w:themeFillShade="BF"/>
            <w:noWrap/>
            <w:vAlign w:val="bottom"/>
          </w:tcPr>
          <w:p>
            <w:pPr>
              <w:spacing w:after="0" w:line="240" w:lineRule="auto"/>
              <w:rPr>
                <w:rFonts w:ascii="Sylfaen" w:eastAsia="Times New Roman" w:hAnsi="Sylfaen" w:cs="Tahoma"/>
                <w:color w:val="FFFFFF" w:themeColor="background1"/>
                <w:sz w:val="20"/>
                <w:szCs w:val="20"/>
                <w:lang w:eastAsia="en-GB"/>
              </w:rPr>
            </w:pPr>
            <w:r>
              <w:rPr>
                <w:rFonts w:ascii="Sylfaen" w:eastAsia="Times New Roman" w:hAnsi="Sylfaen" w:cs="Tahoma"/>
                <w:color w:val="FFFFFF" w:themeColor="background1"/>
                <w:sz w:val="20"/>
                <w:szCs w:val="20"/>
                <w:lang w:eastAsia="en-GB"/>
              </w:rPr>
              <w:lastRenderedPageBreak/>
              <w:t>External CCTV</w:t>
            </w: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28</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4078" w:type="dxa"/>
            <w:gridSpan w:val="4"/>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Exit Gate</w:t>
            </w: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29</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5602" w:type="dxa"/>
            <w:gridSpan w:val="6"/>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Gym/Main Playground</w:t>
            </w: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30</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Mobiles</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31</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Quadrant</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32</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B</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Rear Car Park/Houses</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33</w:t>
            </w:r>
          </w:p>
        </w:tc>
        <w:tc>
          <w:tcPr>
            <w:tcW w:w="826" w:type="dxa"/>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w:t>
            </w:r>
          </w:p>
        </w:tc>
        <w:tc>
          <w:tcPr>
            <w:tcW w:w="888" w:type="dxa"/>
            <w:gridSpan w:val="2"/>
            <w:shd w:val="clear" w:color="auto" w:fill="auto"/>
            <w:noWrap/>
            <w:vAlign w:val="bottom"/>
            <w:hideMark/>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hideMark/>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Entrance Gate/Sensory Garden</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34</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Crossing/Delivery zone</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r>
        <w:trPr>
          <w:gridAfter w:val="1"/>
          <w:wAfter w:w="276" w:type="dxa"/>
          <w:trHeight w:val="375"/>
        </w:trPr>
        <w:tc>
          <w:tcPr>
            <w:tcW w:w="56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35</w:t>
            </w:r>
          </w:p>
        </w:tc>
        <w:tc>
          <w:tcPr>
            <w:tcW w:w="826" w:type="dxa"/>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D</w:t>
            </w:r>
          </w:p>
        </w:tc>
        <w:tc>
          <w:tcPr>
            <w:tcW w:w="888" w:type="dxa"/>
            <w:gridSpan w:val="2"/>
            <w:shd w:val="clear" w:color="auto" w:fill="auto"/>
            <w:noWrap/>
            <w:vAlign w:val="bottom"/>
          </w:tcPr>
          <w:p>
            <w:pPr>
              <w:spacing w:after="0" w:line="240" w:lineRule="auto"/>
              <w:jc w:val="center"/>
              <w:rPr>
                <w:rFonts w:ascii="Sylfaen" w:eastAsia="Times New Roman" w:hAnsi="Sylfaen" w:cs="Tahoma"/>
                <w:color w:val="000000"/>
                <w:sz w:val="20"/>
                <w:szCs w:val="20"/>
                <w:lang w:eastAsia="en-GB"/>
              </w:rPr>
            </w:pPr>
          </w:p>
        </w:tc>
        <w:tc>
          <w:tcPr>
            <w:tcW w:w="3378"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r>
              <w:rPr>
                <w:rFonts w:ascii="Sylfaen" w:eastAsia="Times New Roman" w:hAnsi="Sylfaen" w:cs="Tahoma"/>
                <w:color w:val="000000"/>
                <w:sz w:val="20"/>
                <w:szCs w:val="20"/>
                <w:lang w:eastAsia="en-GB"/>
              </w:rPr>
              <w:t>Garages/Rear Car Park</w:t>
            </w:r>
          </w:p>
        </w:tc>
        <w:tc>
          <w:tcPr>
            <w:tcW w:w="700"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c>
          <w:tcPr>
            <w:tcW w:w="1524" w:type="dxa"/>
            <w:gridSpan w:val="2"/>
            <w:shd w:val="clear" w:color="auto" w:fill="auto"/>
            <w:noWrap/>
            <w:vAlign w:val="bottom"/>
          </w:tcPr>
          <w:p>
            <w:pPr>
              <w:spacing w:after="0" w:line="240" w:lineRule="auto"/>
              <w:rPr>
                <w:rFonts w:ascii="Sylfaen" w:eastAsia="Times New Roman" w:hAnsi="Sylfaen" w:cs="Tahoma"/>
                <w:color w:val="000000"/>
                <w:sz w:val="20"/>
                <w:szCs w:val="20"/>
                <w:lang w:eastAsia="en-GB"/>
              </w:rPr>
            </w:pPr>
          </w:p>
        </w:tc>
      </w:tr>
    </w:tbl>
    <w:p>
      <w:pPr>
        <w:pStyle w:val="NoSpacing"/>
        <w:jc w:val="both"/>
        <w:rPr>
          <w:rFonts w:ascii="Sylfaen" w:hAnsi="Sylfaen" w:cs="Tahoma"/>
          <w:b/>
          <w:sz w:val="20"/>
          <w:szCs w:val="20"/>
          <w:u w:val="single"/>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D4C"/>
    <w:multiLevelType w:val="multilevel"/>
    <w:tmpl w:val="0BFE8474"/>
    <w:lvl w:ilvl="0">
      <w:start w:val="11"/>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 w15:restartNumberingAfterBreak="0">
    <w:nsid w:val="01D14B85"/>
    <w:multiLevelType w:val="multilevel"/>
    <w:tmpl w:val="FAC06432"/>
    <w:lvl w:ilvl="0">
      <w:start w:val="10"/>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A105E7"/>
    <w:multiLevelType w:val="multilevel"/>
    <w:tmpl w:val="FF0C203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BC3021"/>
    <w:multiLevelType w:val="multilevel"/>
    <w:tmpl w:val="218680A0"/>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15:restartNumberingAfterBreak="0">
    <w:nsid w:val="065F0C7A"/>
    <w:multiLevelType w:val="multilevel"/>
    <w:tmpl w:val="99806C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B37762"/>
    <w:multiLevelType w:val="multilevel"/>
    <w:tmpl w:val="7084DDF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7E2964"/>
    <w:multiLevelType w:val="multilevel"/>
    <w:tmpl w:val="FF0C2030"/>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B09063A"/>
    <w:multiLevelType w:val="multilevel"/>
    <w:tmpl w:val="36FA9170"/>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0D274830"/>
    <w:multiLevelType w:val="multilevel"/>
    <w:tmpl w:val="3C5037AE"/>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0F1662F1"/>
    <w:multiLevelType w:val="multilevel"/>
    <w:tmpl w:val="FEE8A5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F600359"/>
    <w:multiLevelType w:val="multilevel"/>
    <w:tmpl w:val="210E5BB8"/>
    <w:lvl w:ilvl="0">
      <w:start w:val="1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FF673A9"/>
    <w:multiLevelType w:val="multilevel"/>
    <w:tmpl w:val="F2D67B12"/>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031063"/>
    <w:multiLevelType w:val="multilevel"/>
    <w:tmpl w:val="8E90916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41B72B4"/>
    <w:multiLevelType w:val="multilevel"/>
    <w:tmpl w:val="47088258"/>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46A5F3D"/>
    <w:multiLevelType w:val="multilevel"/>
    <w:tmpl w:val="F6B2D4C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81466FB"/>
    <w:multiLevelType w:val="multilevel"/>
    <w:tmpl w:val="13D42948"/>
    <w:lvl w:ilvl="0">
      <w:start w:val="10"/>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16" w15:restartNumberingAfterBreak="0">
    <w:nsid w:val="1E926B77"/>
    <w:multiLevelType w:val="multilevel"/>
    <w:tmpl w:val="1D8039D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0E40A61"/>
    <w:multiLevelType w:val="hybridMultilevel"/>
    <w:tmpl w:val="9726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5B2600"/>
    <w:multiLevelType w:val="multilevel"/>
    <w:tmpl w:val="AE26736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4F46715"/>
    <w:multiLevelType w:val="multilevel"/>
    <w:tmpl w:val="D690ED40"/>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0" w15:restartNumberingAfterBreak="0">
    <w:nsid w:val="2A292DC0"/>
    <w:multiLevelType w:val="multilevel"/>
    <w:tmpl w:val="A1C0D02A"/>
    <w:lvl w:ilvl="0">
      <w:start w:val="11"/>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1" w15:restartNumberingAfterBreak="0">
    <w:nsid w:val="2E664663"/>
    <w:multiLevelType w:val="multilevel"/>
    <w:tmpl w:val="FF0C2030"/>
    <w:lvl w:ilvl="0">
      <w:start w:val="10"/>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4FC55E8"/>
    <w:multiLevelType w:val="multilevel"/>
    <w:tmpl w:val="DA8EFC14"/>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67E2C33"/>
    <w:multiLevelType w:val="multilevel"/>
    <w:tmpl w:val="CC2891BA"/>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8B239EB"/>
    <w:multiLevelType w:val="hybridMultilevel"/>
    <w:tmpl w:val="55CAAC4A"/>
    <w:lvl w:ilvl="0" w:tplc="08090017">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38BE1E63"/>
    <w:multiLevelType w:val="multilevel"/>
    <w:tmpl w:val="AE26736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A434BFB"/>
    <w:multiLevelType w:val="multilevel"/>
    <w:tmpl w:val="FF0C2030"/>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B3F23ED"/>
    <w:multiLevelType w:val="hybridMultilevel"/>
    <w:tmpl w:val="C5A294EE"/>
    <w:lvl w:ilvl="0" w:tplc="A2EA57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6533CB"/>
    <w:multiLevelType w:val="multilevel"/>
    <w:tmpl w:val="5E9E60F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9" w15:restartNumberingAfterBreak="0">
    <w:nsid w:val="46707CC0"/>
    <w:multiLevelType w:val="multilevel"/>
    <w:tmpl w:val="B02C154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99064D9"/>
    <w:multiLevelType w:val="hybridMultilevel"/>
    <w:tmpl w:val="69E0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CB3997"/>
    <w:multiLevelType w:val="multilevel"/>
    <w:tmpl w:val="A98CF6AC"/>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170A1D"/>
    <w:multiLevelType w:val="multilevel"/>
    <w:tmpl w:val="AE26736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BE70978"/>
    <w:multiLevelType w:val="multilevel"/>
    <w:tmpl w:val="F86E194E"/>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4" w15:restartNumberingAfterBreak="0">
    <w:nsid w:val="5C697B39"/>
    <w:multiLevelType w:val="hybridMultilevel"/>
    <w:tmpl w:val="3844FE26"/>
    <w:lvl w:ilvl="0" w:tplc="08090013">
      <w:start w:val="1"/>
      <w:numFmt w:val="upperRoman"/>
      <w:lvlText w:val="%1."/>
      <w:lvlJc w:val="right"/>
      <w:pPr>
        <w:ind w:left="1506" w:hanging="360"/>
      </w:pPr>
    </w:lvl>
    <w:lvl w:ilvl="1" w:tplc="08090019" w:tentative="1">
      <w:start w:val="1"/>
      <w:numFmt w:val="lowerLetter"/>
      <w:lvlText w:val="%2."/>
      <w:lvlJc w:val="left"/>
      <w:pPr>
        <w:ind w:left="2226" w:hanging="360"/>
      </w:pPr>
    </w:lvl>
    <w:lvl w:ilvl="2" w:tplc="0809001B">
      <w:start w:val="1"/>
      <w:numFmt w:val="lowerRoman"/>
      <w:lvlText w:val="%3."/>
      <w:lvlJc w:val="right"/>
      <w:pPr>
        <w:ind w:left="1031"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35" w15:restartNumberingAfterBreak="0">
    <w:nsid w:val="606B3989"/>
    <w:multiLevelType w:val="multilevel"/>
    <w:tmpl w:val="FF0C203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BAF6B9E"/>
    <w:multiLevelType w:val="multilevel"/>
    <w:tmpl w:val="91C00454"/>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D7E3865"/>
    <w:multiLevelType w:val="multilevel"/>
    <w:tmpl w:val="FF0C203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307890"/>
    <w:multiLevelType w:val="multilevel"/>
    <w:tmpl w:val="EDB4992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7D2311"/>
    <w:multiLevelType w:val="multilevel"/>
    <w:tmpl w:val="F6B2D4C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DD121B4"/>
    <w:multiLevelType w:val="hybridMultilevel"/>
    <w:tmpl w:val="91C48EB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86145778">
      <w:start w:val="1"/>
      <w:numFmt w:val="lowerRoman"/>
      <w:lvlText w:val="(%3)"/>
      <w:lvlJc w:val="left"/>
      <w:pPr>
        <w:ind w:left="2340" w:hanging="72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EFA09F9"/>
    <w:multiLevelType w:val="multilevel"/>
    <w:tmpl w:val="78C23412"/>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40"/>
  </w:num>
  <w:num w:numId="2">
    <w:abstractNumId w:val="17"/>
  </w:num>
  <w:num w:numId="3">
    <w:abstractNumId w:val="8"/>
  </w:num>
  <w:num w:numId="4">
    <w:abstractNumId w:val="24"/>
  </w:num>
  <w:num w:numId="5">
    <w:abstractNumId w:val="27"/>
  </w:num>
  <w:num w:numId="6">
    <w:abstractNumId w:val="28"/>
  </w:num>
  <w:num w:numId="7">
    <w:abstractNumId w:val="4"/>
  </w:num>
  <w:num w:numId="8">
    <w:abstractNumId w:val="12"/>
  </w:num>
  <w:num w:numId="9">
    <w:abstractNumId w:val="13"/>
  </w:num>
  <w:num w:numId="10">
    <w:abstractNumId w:val="9"/>
  </w:num>
  <w:num w:numId="11">
    <w:abstractNumId w:val="3"/>
  </w:num>
  <w:num w:numId="12">
    <w:abstractNumId w:val="34"/>
  </w:num>
  <w:num w:numId="13">
    <w:abstractNumId w:val="14"/>
  </w:num>
  <w:num w:numId="14">
    <w:abstractNumId w:val="20"/>
  </w:num>
  <w:num w:numId="15">
    <w:abstractNumId w:val="23"/>
  </w:num>
  <w:num w:numId="16">
    <w:abstractNumId w:val="0"/>
  </w:num>
  <w:num w:numId="17">
    <w:abstractNumId w:val="41"/>
  </w:num>
  <w:num w:numId="18">
    <w:abstractNumId w:val="29"/>
  </w:num>
  <w:num w:numId="19">
    <w:abstractNumId w:val="19"/>
  </w:num>
  <w:num w:numId="20">
    <w:abstractNumId w:val="25"/>
  </w:num>
  <w:num w:numId="21">
    <w:abstractNumId w:val="32"/>
  </w:num>
  <w:num w:numId="22">
    <w:abstractNumId w:val="33"/>
  </w:num>
  <w:num w:numId="23">
    <w:abstractNumId w:val="18"/>
  </w:num>
  <w:num w:numId="24">
    <w:abstractNumId w:val="31"/>
  </w:num>
  <w:num w:numId="25">
    <w:abstractNumId w:val="36"/>
  </w:num>
  <w:num w:numId="26">
    <w:abstractNumId w:val="35"/>
  </w:num>
  <w:num w:numId="27">
    <w:abstractNumId w:val="6"/>
  </w:num>
  <w:num w:numId="28">
    <w:abstractNumId w:val="37"/>
  </w:num>
  <w:num w:numId="29">
    <w:abstractNumId w:val="26"/>
  </w:num>
  <w:num w:numId="30">
    <w:abstractNumId w:val="15"/>
  </w:num>
  <w:num w:numId="31">
    <w:abstractNumId w:val="2"/>
  </w:num>
  <w:num w:numId="32">
    <w:abstractNumId w:val="21"/>
  </w:num>
  <w:num w:numId="33">
    <w:abstractNumId w:val="38"/>
  </w:num>
  <w:num w:numId="34">
    <w:abstractNumId w:val="39"/>
  </w:num>
  <w:num w:numId="35">
    <w:abstractNumId w:val="7"/>
  </w:num>
  <w:num w:numId="36">
    <w:abstractNumId w:val="5"/>
  </w:num>
  <w:num w:numId="37">
    <w:abstractNumId w:val="1"/>
  </w:num>
  <w:num w:numId="38">
    <w:abstractNumId w:val="16"/>
  </w:num>
  <w:num w:numId="39">
    <w:abstractNumId w:val="22"/>
  </w:num>
  <w:num w:numId="40">
    <w:abstractNumId w:val="10"/>
  </w:num>
  <w:num w:numId="41">
    <w:abstractNumId w:val="11"/>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ECAA3CD-6850-499A-B3E2-047F314B5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sz w:val="52"/>
      <w:szCs w:val="24"/>
      <w:lang w:val="x-none"/>
    </w:rPr>
  </w:style>
  <w:style w:type="paragraph" w:styleId="Heading2">
    <w:name w:val="heading 2"/>
    <w:basedOn w:val="Normal"/>
    <w:next w:val="Normal"/>
    <w:link w:val="Heading2Char"/>
    <w:unhideWhenUsed/>
    <w:qFormat/>
    <w:pPr>
      <w:keepNext/>
      <w:spacing w:after="0" w:line="240" w:lineRule="auto"/>
      <w:jc w:val="center"/>
      <w:outlineLvl w:val="1"/>
    </w:pPr>
    <w:rPr>
      <w:rFonts w:ascii="Times New Roman" w:eastAsia="Times New Roman" w:hAnsi="Times New Roman" w:cs="Times New Roman"/>
      <w:sz w:val="52"/>
      <w:szCs w:val="24"/>
      <w:lang w:val="x-none"/>
    </w:rPr>
  </w:style>
  <w:style w:type="paragraph" w:styleId="Heading3">
    <w:name w:val="heading 3"/>
    <w:basedOn w:val="Normal"/>
    <w:next w:val="Normal"/>
    <w:link w:val="Heading3Char"/>
    <w:semiHidden/>
    <w:unhideWhenUsed/>
    <w:qFormat/>
    <w:pPr>
      <w:keepNext/>
      <w:spacing w:after="0" w:line="240" w:lineRule="auto"/>
      <w:jc w:val="center"/>
      <w:outlineLvl w:val="2"/>
    </w:pPr>
    <w:rPr>
      <w:rFonts w:ascii="Tahoma" w:eastAsia="Times New Roman" w:hAnsi="Tahoma" w:cs="Times New Roman"/>
      <w:sz w:val="36"/>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Pr>
      <w:rFonts w:ascii="Times New Roman" w:eastAsia="Times New Roman" w:hAnsi="Times New Roman" w:cs="Times New Roman"/>
      <w:sz w:val="52"/>
      <w:szCs w:val="24"/>
      <w:lang w:val="x-none"/>
    </w:rPr>
  </w:style>
  <w:style w:type="character" w:customStyle="1" w:styleId="Heading2Char">
    <w:name w:val="Heading 2 Char"/>
    <w:basedOn w:val="DefaultParagraphFont"/>
    <w:link w:val="Heading2"/>
    <w:rPr>
      <w:rFonts w:ascii="Times New Roman" w:eastAsia="Times New Roman" w:hAnsi="Times New Roman" w:cs="Times New Roman"/>
      <w:sz w:val="52"/>
      <w:szCs w:val="24"/>
      <w:lang w:val="x-none"/>
    </w:rPr>
  </w:style>
  <w:style w:type="character" w:customStyle="1" w:styleId="Heading3Char">
    <w:name w:val="Heading 3 Char"/>
    <w:basedOn w:val="DefaultParagraphFont"/>
    <w:link w:val="Heading3"/>
    <w:semiHidden/>
    <w:rPr>
      <w:rFonts w:ascii="Tahoma" w:eastAsia="Times New Roman" w:hAnsi="Tahoma" w:cs="Times New Roman"/>
      <w:sz w:val="36"/>
      <w:szCs w:val="24"/>
      <w:lang w:val="x-none"/>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ndy.crow@romanfields.her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BC7B8-E356-442F-8253-07A268EDB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1622</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Mandy.crow</dc:creator>
  <cp:lastModifiedBy>Mandy.crow</cp:lastModifiedBy>
  <cp:revision>2</cp:revision>
  <cp:lastPrinted>2018-04-12T15:06:00Z</cp:lastPrinted>
  <dcterms:created xsi:type="dcterms:W3CDTF">2021-06-22T10:46:00Z</dcterms:created>
  <dcterms:modified xsi:type="dcterms:W3CDTF">2021-06-22T10:46:00Z</dcterms:modified>
</cp:coreProperties>
</file>